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05" w:rsidRDefault="00774E05">
      <w:pPr>
        <w:pStyle w:val="ConsPlusTitle"/>
        <w:jc w:val="center"/>
        <w:outlineLvl w:val="0"/>
      </w:pPr>
      <w:r>
        <w:t>ПОРЯДОК</w:t>
      </w:r>
    </w:p>
    <w:p w:rsidR="00774E05" w:rsidRDefault="00774E05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774E05" w:rsidRDefault="00774E05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774E05" w:rsidRDefault="00774E05">
      <w:pPr>
        <w:pStyle w:val="ConsPlusTitle"/>
        <w:jc w:val="center"/>
      </w:pPr>
      <w:r>
        <w:t>ПРИ ПОДГОТОВКЕ И РАССМОТРЕНИИ ПРОЕКТОВ КОНЦЕССИОННЫХ</w:t>
      </w:r>
    </w:p>
    <w:p w:rsidR="00774E05" w:rsidRDefault="00774E05">
      <w:pPr>
        <w:pStyle w:val="ConsPlusTitle"/>
        <w:jc w:val="center"/>
      </w:pPr>
      <w:r>
        <w:t>СОГЛАШЕНИЙ, ПЛАНИРУЕМЫХ К РЕАЛИЗАЦИИ С УЧАСТИЕМ СРЕДСТВ</w:t>
      </w:r>
    </w:p>
    <w:p w:rsidR="00774E05" w:rsidRDefault="00774E05">
      <w:pPr>
        <w:pStyle w:val="ConsPlusTitle"/>
        <w:jc w:val="center"/>
      </w:pPr>
      <w:r>
        <w:t>ОБЛАСТНОГО БЮДЖЕТА, КОНЦЕДЕНТОМ ПО КОТОРЫМ ВЫСТУПАЕТ</w:t>
      </w:r>
    </w:p>
    <w:p w:rsidR="00774E05" w:rsidRDefault="00774E05">
      <w:pPr>
        <w:pStyle w:val="ConsPlusTitle"/>
        <w:jc w:val="center"/>
      </w:pPr>
      <w:r>
        <w:t>МУНИЦИПАЛЬНОЕ ОБРАЗОВАНИЕ МУРМАНСКОЙ ОБЛАСТИ</w:t>
      </w:r>
    </w:p>
    <w:p w:rsidR="00774E05" w:rsidRDefault="00774E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4E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05" w:rsidRDefault="00774E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05" w:rsidRDefault="00774E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E05" w:rsidRDefault="00774E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E05" w:rsidRDefault="00774E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774E05" w:rsidRDefault="00774E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5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05" w:rsidRDefault="00774E05">
            <w:pPr>
              <w:pStyle w:val="ConsPlusNormal"/>
            </w:pPr>
          </w:p>
        </w:tc>
      </w:tr>
    </w:tbl>
    <w:p w:rsidR="00774E05" w:rsidRDefault="00774E05">
      <w:pPr>
        <w:pStyle w:val="ConsPlusNormal"/>
        <w:jc w:val="both"/>
      </w:pPr>
    </w:p>
    <w:p w:rsidR="00774E05" w:rsidRDefault="00774E05">
      <w:pPr>
        <w:pStyle w:val="ConsPlusNormal"/>
        <w:ind w:firstLine="540"/>
        <w:jc w:val="both"/>
      </w:pPr>
      <w:r>
        <w:t xml:space="preserve">1. Настоящий Порядок определяет процедуру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 (далее - концессионное соглашение).</w:t>
      </w:r>
    </w:p>
    <w:p w:rsidR="00774E05" w:rsidRDefault="00774E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осуществляет АО "Корпорация развития Мурманской области" (далее - специализированная организация).</w:t>
      </w:r>
    </w:p>
    <w:p w:rsidR="00774E05" w:rsidRDefault="00774E0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3. </w:t>
      </w:r>
      <w:proofErr w:type="gramStart"/>
      <w:r>
        <w:t xml:space="preserve">Глава муниципального образования Мурманской области, на территории которого планируется реализация концессионного соглашения с участием средств областного бюджета (далее - Глава муниципалитета), направляет в исполнительный орган Мурманской области, осуществляющий управление в сфере, в которой планируется реализация указанного концессионного соглашения (далее - ответственный ИОГВ), проект концессионного соглашения (далее - предложение), разработанный в соответствии с требованиями, установленными </w:t>
      </w:r>
      <w:hyperlink r:id="rId10">
        <w:r>
          <w:rPr>
            <w:color w:val="0000FF"/>
          </w:rPr>
          <w:t>Законом</w:t>
        </w:r>
      </w:hyperlink>
      <w:r>
        <w:t xml:space="preserve"> 115-ФЗ.</w:t>
      </w:r>
      <w:proofErr w:type="gramEnd"/>
    </w:p>
    <w:p w:rsidR="00774E05" w:rsidRDefault="00774E0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4. Ответственный ИОГВ в течение 2 рабочих дней </w:t>
      </w:r>
      <w:proofErr w:type="gramStart"/>
      <w:r>
        <w:t>с даты поступления</w:t>
      </w:r>
      <w:proofErr w:type="gramEnd"/>
      <w:r>
        <w:t xml:space="preserve"> предложения направляет его секретарю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Ответственный ИОГВ, секретарь и члены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дней со дня получения соответствующего запроса.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5. Срок рассмотрения предложения Рабочей группой не может превышать 18 дней со дня направления предложения членам Рабочей группы.</w:t>
      </w:r>
    </w:p>
    <w:p w:rsidR="00774E05" w:rsidRDefault="00774E05">
      <w:pPr>
        <w:pStyle w:val="ConsPlusNormal"/>
        <w:spacing w:before="220"/>
        <w:ind w:firstLine="540"/>
        <w:jc w:val="both"/>
      </w:pPr>
      <w:bookmarkStart w:id="1" w:name="P21"/>
      <w:bookmarkEnd w:id="1"/>
      <w:r>
        <w:lastRenderedPageBreak/>
        <w:t>6. В течение 2 дней со дня принятия решения Рабочей группой о нецелесообразности заключения концессионного соглашения или о целесообразности заключения концессионного соглашения на иных условиях ответственный ИОГВ направляет соответствующий протокол Главе муниципалитета.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7.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Арктики и экономики Мурманской области (далее - Министерство).</w:t>
      </w:r>
    </w:p>
    <w:p w:rsidR="00774E05" w:rsidRDefault="00774E05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8. Министерство в течение 4 дней со дня поступления в его адрес документов, указанных в </w:t>
      </w:r>
      <w:hyperlink w:anchor="P21">
        <w:r>
          <w:rPr>
            <w:color w:val="0000FF"/>
          </w:rPr>
          <w:t>пункте 6</w:t>
        </w:r>
      </w:hyperlink>
      <w:r>
        <w:t>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9. По итогам рассмотрения вопроса, указанного в </w:t>
      </w:r>
      <w:hyperlink w:anchor="P23">
        <w:r>
          <w:rPr>
            <w:color w:val="0000FF"/>
          </w:rPr>
          <w:t>пункте 8</w:t>
        </w:r>
      </w:hyperlink>
      <w:r>
        <w:t>, Межведомственная комиссия принимает одно из следующих решений: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9.1. Признать целесообразным заключение концессионного соглашения.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9.2. Признать нецелесообразным заключение концессионного соглашения.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>9.3. Признать целесообразным заключение концессионного соглашения на иных условиях.</w:t>
      </w:r>
    </w:p>
    <w:p w:rsidR="00774E05" w:rsidRDefault="00774E05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10. </w:t>
      </w:r>
      <w:proofErr w:type="gramStart"/>
      <w:r>
        <w:t>Не позднее 2 рабочих дней с даты подписания протокола заседания Межведомственной комиссии Губернатором Мурманской области или лицом, его замещающим, ответственный ИОГВ направляет копию указанного протокола, а также копии протоколов заседаний Рабочей группы в адрес Главы муниципалитета.</w:t>
      </w:r>
      <w:proofErr w:type="gramEnd"/>
    </w:p>
    <w:p w:rsidR="00774E05" w:rsidRDefault="00774E05">
      <w:pPr>
        <w:pStyle w:val="ConsPlusNormal"/>
        <w:spacing w:before="220"/>
        <w:ind w:firstLine="540"/>
        <w:jc w:val="both"/>
      </w:pPr>
      <w:r>
        <w:t>11.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12. Проект дополнительного соглашения к подписанному концессионному соглашению проходит процедуру согласования, предусмотренную </w:t>
      </w:r>
      <w:hyperlink w:anchor="P15">
        <w:r>
          <w:rPr>
            <w:color w:val="0000FF"/>
          </w:rPr>
          <w:t>пунктами 3</w:t>
        </w:r>
      </w:hyperlink>
      <w:r>
        <w:t xml:space="preserve"> - </w:t>
      </w:r>
      <w:hyperlink w:anchor="P28">
        <w:r>
          <w:rPr>
            <w:color w:val="0000FF"/>
          </w:rPr>
          <w:t>10</w:t>
        </w:r>
      </w:hyperlink>
      <w:r>
        <w:t xml:space="preserve"> настоящего Порядка, с учетом следующих особенностей: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12.1. В случае если дополнительным соглашением вносятся изменения, не относящиеся к существенным условиям концессионного соглашения, определенным </w:t>
      </w:r>
      <w:hyperlink r:id="rId12">
        <w:r>
          <w:rPr>
            <w:color w:val="0000FF"/>
          </w:rPr>
          <w:t>статьей 10</w:t>
        </w:r>
      </w:hyperlink>
      <w:r>
        <w:t xml:space="preserve"> Закона 115-ФЗ, проект дополнительного соглашения на рассмотрение Межведомственной комиссии не выносится.</w:t>
      </w:r>
    </w:p>
    <w:p w:rsidR="00774E05" w:rsidRDefault="00774E05">
      <w:pPr>
        <w:pStyle w:val="ConsPlusNormal"/>
        <w:spacing w:before="220"/>
        <w:ind w:firstLine="540"/>
        <w:jc w:val="both"/>
      </w:pPr>
      <w:r>
        <w:t xml:space="preserve">12.2. Получение согласия антимонопольного органа, предусмотренного </w:t>
      </w:r>
      <w:hyperlink r:id="rId13">
        <w:r>
          <w:rPr>
            <w:color w:val="0000FF"/>
          </w:rPr>
          <w:t>частью 3 статьи 13</w:t>
        </w:r>
      </w:hyperlink>
      <w:r>
        <w:t xml:space="preserve">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774E05" w:rsidRDefault="00774E05">
      <w:pPr>
        <w:pStyle w:val="ConsPlusNormal"/>
        <w:jc w:val="both"/>
      </w:pPr>
    </w:p>
    <w:p w:rsidR="00774E05" w:rsidRDefault="00774E05">
      <w:pPr>
        <w:pStyle w:val="ConsPlusNormal"/>
        <w:jc w:val="both"/>
      </w:pPr>
    </w:p>
    <w:p w:rsidR="00774E05" w:rsidRDefault="00774E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  <w:bookmarkEnd w:id="4"/>
    </w:p>
    <w:sectPr w:rsidR="00774E05" w:rsidSect="0050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5"/>
    <w:rsid w:val="00774E05"/>
    <w:rsid w:val="00D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CC09C647A618BA477C7D8B279635024F39347BBBD965182F5AC894A7C6F3EA6B3D28627ABCC2D398BADAADa6D5J" TargetMode="External"/><Relationship Id="rId13" Type="http://schemas.openxmlformats.org/officeDocument/2006/relationships/hyperlink" Target="consultantplus://offline/ref=557ECC09C647A618BA477C7D8B279635024F39347BBBD965182F5AC894A7C6F3F86B65276576A99780C2EDD7AD6E30D16818F8B51CaBD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ECC09C647A618BA4762709D4BC8300146653B7FB8D43B427A5C9FCBF7C0A6B82B63712337AFC2D186B8DAA66C7A812E53F7B717A9DB99369DC3ABaAD4J" TargetMode="External"/><Relationship Id="rId12" Type="http://schemas.openxmlformats.org/officeDocument/2006/relationships/hyperlink" Target="consultantplus://offline/ref=557ECC09C647A618BA477C7D8B279635024F39347BBBD965182F5AC894A7C6F3F86B65246073A2CBD28DEC8BEB3223D26318FBB700B5DA99a2D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ECC09C647A618BA4762709D4BC8300146653B7FB8D43B427A5C9FCBF7C0A6B82B63712337AFC2D186B8DAA66C7A812E53F7B717A9DB99369DC3ABaAD4J" TargetMode="External"/><Relationship Id="rId11" Type="http://schemas.openxmlformats.org/officeDocument/2006/relationships/hyperlink" Target="consultantplus://offline/ref=557ECC09C647A618BA4762709D4BC8300146653B7FB8D43B427A5C9FCBF7C0A6B82B63712337AFC2D186B8DAA66C7A812E53F7B717A9DB99369DC3ABaAD4J" TargetMode="External"/><Relationship Id="rId5" Type="http://schemas.openxmlformats.org/officeDocument/2006/relationships/hyperlink" Target="consultantplus://offline/ref=557ECC09C647A618BA4762709D4BC8300146653B7FB9D53640795C9FCBF7C0A6B82B63712337AFC2D186B9DFA96C7A812E53F7B717A9DB99369DC3ABaAD4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7ECC09C647A618BA477C7D8B279635024F39347BBBD965182F5AC894A7C6F3EA6B3D28627ABCC2D398BADAADa6D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7ECC09C647A618BA4762709D4BC8300146653B7FB8DB36457F5C9FCBF7C0A6B82B63713137F7CED38FA6DBAD792CD068a0D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О.В.</dc:creator>
  <cp:lastModifiedBy>Краснова О.В.</cp:lastModifiedBy>
  <cp:revision>1</cp:revision>
  <dcterms:created xsi:type="dcterms:W3CDTF">2022-12-29T09:03:00Z</dcterms:created>
  <dcterms:modified xsi:type="dcterms:W3CDTF">2022-12-29T09:05:00Z</dcterms:modified>
</cp:coreProperties>
</file>