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26" w:rsidRPr="00D45B26" w:rsidRDefault="00D45B26" w:rsidP="00D45B26">
      <w:pPr>
        <w:pStyle w:val="a3"/>
        <w:spacing w:before="0" w:beforeAutospacing="0" w:after="0" w:afterAutospacing="0" w:line="288" w:lineRule="atLeast"/>
        <w:ind w:firstLine="540"/>
        <w:jc w:val="center"/>
        <w:rPr>
          <w:b/>
          <w:sz w:val="28"/>
        </w:rPr>
      </w:pPr>
      <w:r w:rsidRPr="00D45B26">
        <w:rPr>
          <w:b/>
          <w:sz w:val="28"/>
        </w:rPr>
        <w:t>Доклад о развитии малого и среднего предпринимательства и эффективности поддержки за 202</w:t>
      </w:r>
      <w:r w:rsidR="00A23575">
        <w:rPr>
          <w:b/>
          <w:sz w:val="28"/>
        </w:rPr>
        <w:t>4</w:t>
      </w:r>
      <w:r w:rsidRPr="00D45B26">
        <w:rPr>
          <w:b/>
          <w:sz w:val="28"/>
        </w:rPr>
        <w:t xml:space="preserve"> год</w:t>
      </w:r>
    </w:p>
    <w:p w:rsidR="00D45B26" w:rsidRDefault="00D45B26" w:rsidP="00D45B26">
      <w:pPr>
        <w:widowControl w:val="0"/>
        <w:ind w:firstLine="709"/>
        <w:jc w:val="center"/>
        <w:rPr>
          <w:sz w:val="32"/>
          <w:szCs w:val="28"/>
        </w:rPr>
      </w:pP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экономические вызовы последних лет сектор малого </w:t>
      </w:r>
      <w:r>
        <w:rPr>
          <w:sz w:val="28"/>
          <w:szCs w:val="28"/>
        </w:rPr>
        <w:br w:type="textWrapping" w:clear="all"/>
        <w:t>и среднего предпринимательства (далее – МСП) показывает положительную динамику.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зарегистрированных в регионе субъектов малого и среднего предпринимательства (далее – СМСП) по итогам 2024 года составило 26,2 тыс. единиц, что на 1 % больше значения за 2023 год и на 4 % больше значения </w:t>
      </w:r>
      <w:r>
        <w:rPr>
          <w:sz w:val="28"/>
          <w:szCs w:val="28"/>
        </w:rPr>
        <w:br w:type="textWrapping" w:clear="all"/>
        <w:t>по итогам 2019 года.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Введенный в 2020 году специальный налоговый режим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«Налог на профессиональный доход» в 2024 году также являлся одним </w:t>
      </w:r>
      <w:r>
        <w:rPr>
          <w:sz w:val="28"/>
          <w:szCs w:val="28"/>
        </w:rPr>
        <w:br/>
        <w:t xml:space="preserve">из факторов увеличения численности занятых в данном секторе. На конец </w:t>
      </w:r>
      <w:r>
        <w:rPr>
          <w:sz w:val="28"/>
          <w:szCs w:val="28"/>
        </w:rPr>
        <w:br/>
        <w:t xml:space="preserve">2024 года число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 увеличилось 7 раз по сравнению </w:t>
      </w:r>
      <w:r>
        <w:rPr>
          <w:sz w:val="28"/>
          <w:szCs w:val="28"/>
        </w:rPr>
        <w:br/>
        <w:t>с 2020 годом и составило 37,9 тыс. человек, что превысило количество зарегистрированных в регионе предпринимателей.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2024 года численность занятых в сфере МСП в регионе составила 96,8 тыс. человек.</w:t>
      </w:r>
    </w:p>
    <w:p w:rsidR="00654424" w:rsidRPr="00654424" w:rsidRDefault="00654424" w:rsidP="00654424">
      <w:pPr>
        <w:ind w:firstLine="709"/>
        <w:jc w:val="both"/>
        <w:rPr>
          <w:sz w:val="28"/>
          <w:szCs w:val="28"/>
        </w:rPr>
      </w:pPr>
      <w:r w:rsidRPr="00654424">
        <w:rPr>
          <w:sz w:val="28"/>
          <w:szCs w:val="28"/>
        </w:rPr>
        <w:t xml:space="preserve">С 2024 года показатель по численности занятых в сфере МСП рассчитывается </w:t>
      </w:r>
      <w:r w:rsidRPr="00654424">
        <w:rPr>
          <w:sz w:val="28"/>
          <w:szCs w:val="28"/>
        </w:rPr>
        <w:br w:type="textWrapping" w:clear="all"/>
        <w:t xml:space="preserve">на федеральном уровне в соответствии с новой методикой, предусматривающей исключение из расчета данного показателя двойного учета индивидуальных предпринимателей и </w:t>
      </w:r>
      <w:proofErr w:type="spellStart"/>
      <w:r w:rsidRPr="00654424">
        <w:rPr>
          <w:sz w:val="28"/>
          <w:szCs w:val="28"/>
        </w:rPr>
        <w:t>самозанятых</w:t>
      </w:r>
      <w:proofErr w:type="spellEnd"/>
      <w:r w:rsidRPr="00654424">
        <w:rPr>
          <w:sz w:val="28"/>
          <w:szCs w:val="28"/>
        </w:rPr>
        <w:t xml:space="preserve"> граждан, которые одновременно являются работниками у индивидуальных предпринимателей и (или) у юриди</w:t>
      </w:r>
      <w:r>
        <w:rPr>
          <w:sz w:val="28"/>
          <w:szCs w:val="28"/>
        </w:rPr>
        <w:t xml:space="preserve">ческих лиц, а также исключение </w:t>
      </w:r>
      <w:r w:rsidRPr="00654424">
        <w:rPr>
          <w:sz w:val="28"/>
          <w:szCs w:val="28"/>
        </w:rPr>
        <w:t xml:space="preserve">из расчета </w:t>
      </w:r>
      <w:proofErr w:type="spellStart"/>
      <w:r w:rsidRPr="00654424">
        <w:rPr>
          <w:sz w:val="28"/>
          <w:szCs w:val="28"/>
        </w:rPr>
        <w:t>самозанятых</w:t>
      </w:r>
      <w:proofErr w:type="spellEnd"/>
      <w:r w:rsidRPr="00654424">
        <w:rPr>
          <w:sz w:val="28"/>
          <w:szCs w:val="28"/>
        </w:rPr>
        <w:t xml:space="preserve"> граждан, которые не получали доход за последние 12 месяцев.</w:t>
      </w:r>
    </w:p>
    <w:p w:rsidR="00654424" w:rsidRPr="00654424" w:rsidRDefault="00654424" w:rsidP="00654424">
      <w:pPr>
        <w:ind w:firstLine="709"/>
        <w:jc w:val="both"/>
        <w:rPr>
          <w:sz w:val="28"/>
          <w:szCs w:val="28"/>
        </w:rPr>
      </w:pPr>
      <w:r w:rsidRPr="00654424">
        <w:rPr>
          <w:sz w:val="28"/>
          <w:szCs w:val="28"/>
        </w:rPr>
        <w:t xml:space="preserve">При этом значение показателя с 2024 года снизилось. Однако такой подход позволяет наиболее корректно оценивать численность занятых в сфере МСП. </w:t>
      </w:r>
    </w:p>
    <w:p w:rsidR="00654424" w:rsidRPr="00654424" w:rsidRDefault="00654424" w:rsidP="00654424">
      <w:pPr>
        <w:ind w:firstLine="709"/>
        <w:jc w:val="both"/>
        <w:rPr>
          <w:sz w:val="28"/>
          <w:szCs w:val="28"/>
        </w:rPr>
      </w:pPr>
      <w:r w:rsidRPr="00654424">
        <w:rPr>
          <w:sz w:val="28"/>
          <w:szCs w:val="28"/>
        </w:rPr>
        <w:t>Несмотря на изменение методики расчета численность занятых в сфере МСП в 2024 году показывала устойчивый рост. Так, в январе 2024 года значение показателя составляло 91,2 тыс. человек, по итогам 2024 года – 96,8 тыс. человек. Рост составил 106,1 %.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 2024 году на поддержку сектора МСП в рамках реализации государственной программы Мурманской области «Экономический потенциал» было направлено 238,8 млн рублей (в том числе средства федерального бюджета – 35 млн рублей, средства областного бюджета – 203,7 млн рублей, внебюджетные средства – 0,08 млн рублей), из них в рамках реализации национального проекта «Малое и среднее предпринимательство и поддержка индивидуальной предпринимательской инициативы» – 73,8 млн рублей (в том числе средства федерального бюджета – 34,9 млн рублей, средства областного бюджета – 38,9 млн рублей).</w:t>
      </w:r>
    </w:p>
    <w:p w:rsidR="00654424" w:rsidRDefault="00654424" w:rsidP="006544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Меры оказываемой поддержки:</w:t>
      </w:r>
    </w:p>
    <w:p w:rsidR="00654424" w:rsidRDefault="00654424" w:rsidP="0065442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276467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 xml:space="preserve">Финансовая поддержка в виде гранта «Губернаторский старт» </w:t>
      </w:r>
      <w:r>
        <w:rPr>
          <w:rFonts w:eastAsia="Calibri"/>
          <w:sz w:val="28"/>
          <w:szCs w:val="28"/>
        </w:rPr>
        <w:br w:type="textWrapping" w:clear="all"/>
        <w:t xml:space="preserve">на поддержку предпринимательских инициатив. 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Сумма гранта в 2024 году составляла до 1 млн рублей, а для отдельных категорий проектов заявителей – до 2 млн рублей, для победителей – дополнительное право на получение льготного </w:t>
      </w:r>
      <w:proofErr w:type="spellStart"/>
      <w:r>
        <w:rPr>
          <w:rFonts w:eastAsia="Calibri"/>
          <w:sz w:val="28"/>
          <w:szCs w:val="28"/>
        </w:rPr>
        <w:t>микрозайма</w:t>
      </w:r>
      <w:proofErr w:type="spellEnd"/>
      <w:r>
        <w:rPr>
          <w:rFonts w:eastAsia="Calibri"/>
          <w:sz w:val="28"/>
          <w:szCs w:val="28"/>
        </w:rPr>
        <w:t xml:space="preserve"> в </w:t>
      </w:r>
      <w:r>
        <w:rPr>
          <w:sz w:val="28"/>
          <w:szCs w:val="28"/>
        </w:rPr>
        <w:t xml:space="preserve">Некоммерческой </w:t>
      </w:r>
      <w:proofErr w:type="spellStart"/>
      <w:r>
        <w:rPr>
          <w:sz w:val="28"/>
          <w:szCs w:val="28"/>
        </w:rPr>
        <w:t>микрокредитной</w:t>
      </w:r>
      <w:proofErr w:type="spellEnd"/>
      <w:r>
        <w:rPr>
          <w:sz w:val="28"/>
          <w:szCs w:val="28"/>
        </w:rPr>
        <w:t xml:space="preserve"> компании «Фонд развития малого и среднего предпринимательства Мурманской области» </w:t>
      </w:r>
      <w:r w:rsidRPr="00276467">
        <w:rPr>
          <w:sz w:val="28"/>
          <w:szCs w:val="28"/>
        </w:rPr>
        <w:t>(далее – НМКК «ФОРМАП»)</w:t>
      </w:r>
      <w:r>
        <w:rPr>
          <w:rFonts w:eastAsia="Calibri"/>
          <w:sz w:val="28"/>
          <w:szCs w:val="28"/>
        </w:rPr>
        <w:t>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Поддержка до 2 млн рублей предоставлялась для проектов, предусматривающих развитие бизнеса на земельных участках в рамках программы «Гектар Арктики», на территории моногородов, приграничных, удаленных населенных пунктов или в ЗАТО, проектов, реализуемых участниками специальной военной операции и членами </w:t>
      </w:r>
      <w:r>
        <w:rPr>
          <w:sz w:val="28"/>
          <w:szCs w:val="28"/>
        </w:rPr>
        <w:br/>
        <w:t xml:space="preserve">их семей, проектов по открытию аптек в приграничных и удаленных населенных пунктах, проектов, предусматривающих привлечение осужденных </w:t>
      </w:r>
      <w:r>
        <w:rPr>
          <w:sz w:val="28"/>
          <w:szCs w:val="28"/>
        </w:rPr>
        <w:br/>
        <w:t>к труду, в том числе к исправительным работам.</w:t>
      </w:r>
    </w:p>
    <w:p w:rsidR="00654424" w:rsidRDefault="00276467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54424">
        <w:rPr>
          <w:sz w:val="28"/>
          <w:szCs w:val="28"/>
        </w:rPr>
        <w:t xml:space="preserve">о итогам конкурсных отборов </w:t>
      </w:r>
      <w:r>
        <w:rPr>
          <w:sz w:val="28"/>
          <w:szCs w:val="28"/>
        </w:rPr>
        <w:t xml:space="preserve">в 2024 году </w:t>
      </w:r>
      <w:r w:rsidR="00654424">
        <w:rPr>
          <w:sz w:val="28"/>
          <w:szCs w:val="28"/>
        </w:rPr>
        <w:t xml:space="preserve">грант получили </w:t>
      </w:r>
      <w:r w:rsidR="00654424">
        <w:rPr>
          <w:sz w:val="28"/>
          <w:szCs w:val="28"/>
        </w:rPr>
        <w:br w:type="textWrapping" w:clear="all"/>
        <w:t xml:space="preserve"> 34 проекта на общую сумму 49,8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76467">
        <w:rPr>
          <w:sz w:val="28"/>
          <w:szCs w:val="28"/>
        </w:rPr>
        <w:t> </w:t>
      </w:r>
      <w:r>
        <w:rPr>
          <w:sz w:val="28"/>
          <w:szCs w:val="28"/>
        </w:rPr>
        <w:t xml:space="preserve">Финансовая поддержка в виде гранта на приобретение </w:t>
      </w:r>
      <w:r>
        <w:rPr>
          <w:sz w:val="28"/>
          <w:szCs w:val="28"/>
        </w:rPr>
        <w:br w:type="textWrapping" w:clear="all"/>
        <w:t xml:space="preserve">франшизы – максимальный размер субсидии для одного заявителя до 1 млн рублей при условии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получателем субсидии не менее 20 % расходов на реализацию проекта.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поддержки в 2024 году</w:t>
      </w:r>
      <w:r w:rsidR="00276467">
        <w:rPr>
          <w:sz w:val="28"/>
          <w:szCs w:val="28"/>
        </w:rPr>
        <w:t xml:space="preserve"> стали</w:t>
      </w:r>
      <w:r>
        <w:rPr>
          <w:sz w:val="28"/>
          <w:szCs w:val="28"/>
        </w:rPr>
        <w:t xml:space="preserve"> 3 победителя на общую сумму более 2,9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6467">
        <w:rPr>
          <w:sz w:val="28"/>
          <w:szCs w:val="28"/>
        </w:rPr>
        <w:t> </w:t>
      </w:r>
      <w:r>
        <w:rPr>
          <w:sz w:val="28"/>
          <w:szCs w:val="28"/>
        </w:rPr>
        <w:t>Субсидии на возмещение затрат по кредитным и лизинговым обязательствам – финансовая поддержка предоставляется на возмещение части фактически понесенных затрат текущего и предыдущего финансового года.</w:t>
      </w:r>
    </w:p>
    <w:p w:rsidR="00654424" w:rsidRDefault="00276467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4424">
        <w:rPr>
          <w:sz w:val="28"/>
          <w:szCs w:val="28"/>
        </w:rPr>
        <w:t xml:space="preserve"> 2024 году </w:t>
      </w:r>
      <w:r>
        <w:rPr>
          <w:sz w:val="28"/>
          <w:szCs w:val="28"/>
        </w:rPr>
        <w:t xml:space="preserve">получателями стали </w:t>
      </w:r>
      <w:r w:rsidR="00654424">
        <w:rPr>
          <w:sz w:val="28"/>
          <w:szCs w:val="28"/>
        </w:rPr>
        <w:t>12 предпринимателей на сумму 5,3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Субсидии субъектам предпринимательства, осуществляющим общественно значимую деятельность, направленную на решение социальных проблем.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2024 году субсидию получили 10 предпринимателей на сумму 3,3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Финансовая поддержка в виде инновационного ваучера со сроком использования 6 месяцев (предоставляется на консалтинговые, маркетинговые, образовательные услуги и продвижение проектов, услуги в сфере инжиниринга, </w:t>
      </w:r>
      <w:proofErr w:type="spellStart"/>
      <w:r>
        <w:rPr>
          <w:sz w:val="28"/>
          <w:szCs w:val="28"/>
        </w:rPr>
        <w:t>прототипирования</w:t>
      </w:r>
      <w:proofErr w:type="spellEnd"/>
      <w:r>
        <w:rPr>
          <w:sz w:val="28"/>
          <w:szCs w:val="28"/>
        </w:rPr>
        <w:t>, макетирования и проведения лабораторных исследований / испытаний).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Стоимостный эквивалент инновационного ваучера составляет 500 тыс. рублей для одного победителя.</w:t>
      </w:r>
    </w:p>
    <w:p w:rsidR="00654424" w:rsidRDefault="00276467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4424">
        <w:rPr>
          <w:sz w:val="28"/>
          <w:szCs w:val="28"/>
        </w:rPr>
        <w:t xml:space="preserve"> 2024 год</w:t>
      </w:r>
      <w:r>
        <w:rPr>
          <w:sz w:val="28"/>
          <w:szCs w:val="28"/>
        </w:rPr>
        <w:t xml:space="preserve">у поддержка оказана 2 компаниям </w:t>
      </w:r>
      <w:r w:rsidR="00654424">
        <w:rPr>
          <w:sz w:val="28"/>
          <w:szCs w:val="28"/>
        </w:rPr>
        <w:t>на сумму 1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Грант </w:t>
      </w:r>
      <w:proofErr w:type="gramStart"/>
      <w:r>
        <w:rPr>
          <w:sz w:val="28"/>
          <w:szCs w:val="28"/>
        </w:rPr>
        <w:t xml:space="preserve">для </w:t>
      </w:r>
      <w:r w:rsidR="0024792E">
        <w:rPr>
          <w:sz w:val="28"/>
          <w:szCs w:val="28"/>
        </w:rPr>
        <w:t>субъектам</w:t>
      </w:r>
      <w:proofErr w:type="gramEnd"/>
      <w:r w:rsidR="0024792E">
        <w:rPr>
          <w:sz w:val="28"/>
          <w:szCs w:val="28"/>
        </w:rPr>
        <w:t xml:space="preserve"> </w:t>
      </w:r>
      <w:r>
        <w:rPr>
          <w:sz w:val="28"/>
          <w:szCs w:val="28"/>
        </w:rPr>
        <w:t>МСП, включенных в реестр социальных предприятий, и грант молодым предпринимателям в возрасте до 25 лет включительно (реализуется в рамках национального проекта «Малое и среднее предпринимательство и поддержка индивидуальной предпринимательской инициативы»).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Сумма гранта для одного заявителя – до 1 млн рублей при условии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не менее 25 % от размера расходов, предусмотренных </w:t>
      </w:r>
      <w:r>
        <w:rPr>
          <w:sz w:val="28"/>
          <w:szCs w:val="28"/>
        </w:rPr>
        <w:br/>
        <w:t xml:space="preserve">на реализацию проекта. Грант для социальных предприятий предоставляется </w:t>
      </w:r>
      <w:r>
        <w:rPr>
          <w:sz w:val="28"/>
          <w:szCs w:val="28"/>
        </w:rPr>
        <w:br/>
        <w:t>с 2021 года, грант молодым предпринимателям – с 2022 года.</w:t>
      </w:r>
    </w:p>
    <w:p w:rsidR="00654424" w:rsidRDefault="0024792E" w:rsidP="002479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54424">
        <w:rPr>
          <w:sz w:val="28"/>
          <w:szCs w:val="28"/>
        </w:rPr>
        <w:t xml:space="preserve">2024 году </w:t>
      </w:r>
      <w:r>
        <w:rPr>
          <w:sz w:val="28"/>
          <w:szCs w:val="28"/>
        </w:rPr>
        <w:t xml:space="preserve">поддержку получили </w:t>
      </w:r>
      <w:r w:rsidR="00654424">
        <w:rPr>
          <w:sz w:val="28"/>
          <w:szCs w:val="28"/>
        </w:rPr>
        <w:t>3 социальных предпринимателя на общую сумму 2,3 млн рублей</w:t>
      </w:r>
      <w:r>
        <w:rPr>
          <w:sz w:val="28"/>
          <w:szCs w:val="28"/>
        </w:rPr>
        <w:t xml:space="preserve"> и </w:t>
      </w:r>
      <w:r w:rsidR="00654424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молодой </w:t>
      </w:r>
      <w:r w:rsidR="00654424">
        <w:rPr>
          <w:sz w:val="28"/>
          <w:szCs w:val="28"/>
        </w:rPr>
        <w:t>предприниматель на сумму 0,3 млн рублей.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24792E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Микрозаймы</w:t>
      </w:r>
      <w:proofErr w:type="spellEnd"/>
      <w:r>
        <w:rPr>
          <w:sz w:val="28"/>
          <w:szCs w:val="28"/>
        </w:rPr>
        <w:t xml:space="preserve"> по льготным процентным ставкам для начинающих </w:t>
      </w:r>
      <w:r>
        <w:rPr>
          <w:sz w:val="28"/>
          <w:szCs w:val="28"/>
        </w:rPr>
        <w:br w:type="textWrapping" w:clear="all"/>
        <w:t xml:space="preserve">и действующих предпринимателей, а также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Имущественная поддержка в виде предоставления статуса резидента ГОБУ «Мурманский региональный инновационный бизнес-инкубатор» с целью предоставления в аренду нежилых помещений.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9. Предоставление комплекса </w:t>
      </w:r>
      <w:r>
        <w:rPr>
          <w:sz w:val="28"/>
          <w:szCs w:val="28"/>
        </w:rPr>
        <w:t xml:space="preserve">информационно-консультационных </w:t>
      </w:r>
      <w:r>
        <w:rPr>
          <w:sz w:val="28"/>
          <w:szCs w:val="28"/>
        </w:rPr>
        <w:br w:type="textWrapping" w:clear="all"/>
        <w:t>и образовательных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 проведение мероприятий, в том числе направленных на вовлечение граждан в предпринимательскую деятельность. </w:t>
      </w:r>
    </w:p>
    <w:p w:rsidR="00654424" w:rsidRDefault="00654424" w:rsidP="0065442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Услуги субъектам предпринимательства, в том числе участникам кластеров, гражданам и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 оказываются </w:t>
      </w:r>
      <w:r>
        <w:rPr>
          <w:rFonts w:eastAsia="Calibri"/>
          <w:sz w:val="28"/>
          <w:szCs w:val="28"/>
        </w:rPr>
        <w:t>Центром поддержки предпринимательства и Центром кластерного развития Мурманской области.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Содействие в подаче заявок на участие в федеральных </w:t>
      </w:r>
      <w:proofErr w:type="spellStart"/>
      <w:r>
        <w:rPr>
          <w:sz w:val="28"/>
          <w:szCs w:val="28"/>
        </w:rPr>
        <w:t>грантовых</w:t>
      </w:r>
      <w:proofErr w:type="spellEnd"/>
      <w:r>
        <w:rPr>
          <w:sz w:val="28"/>
          <w:szCs w:val="28"/>
        </w:rPr>
        <w:t xml:space="preserve"> программах для молодых предпринимателей, а также нефинансовые меры поддержки: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программы по наставничеству для предпринимателей и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привлечение студентов к участию в конкурсных и акселерационных мероприятиях в целях поддержки инновационных и технологических проектов;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совместных мероприятий с фондом «</w:t>
      </w:r>
      <w:proofErr w:type="spellStart"/>
      <w:r>
        <w:rPr>
          <w:sz w:val="28"/>
          <w:szCs w:val="28"/>
        </w:rPr>
        <w:t>Сколково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 w:type="textWrapping" w:clear="all"/>
        <w:t>и Всероссийским обществом изобретателей и рационализаторов, прочие мероприятия.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В целях снижения налоговой нагрузки на бизнес в 2024 году действовали принятые в 2020 - 2022 годах следующие ключевые решения: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281E">
        <w:rPr>
          <w:sz w:val="28"/>
          <w:szCs w:val="28"/>
        </w:rPr>
        <w:t> </w:t>
      </w:r>
      <w:r>
        <w:rPr>
          <w:sz w:val="28"/>
          <w:szCs w:val="28"/>
        </w:rPr>
        <w:t xml:space="preserve">пониженные налоговые ставки по упрощенной системе налогообложения: для всех налогоплательщиков в случае если объектом налогообложения являются доходы, уменьшенные на величину расходов, 5 %; </w:t>
      </w:r>
      <w:r>
        <w:rPr>
          <w:sz w:val="28"/>
          <w:szCs w:val="28"/>
        </w:rPr>
        <w:br w:type="textWrapping" w:clear="all"/>
        <w:t>в случае если объектом налогообложения являются доходы – 1 %;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специальный налоговый режим для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«Налог </w:t>
      </w:r>
      <w:r>
        <w:rPr>
          <w:sz w:val="28"/>
          <w:szCs w:val="28"/>
        </w:rPr>
        <w:br w:type="textWrapping" w:clear="all"/>
        <w:t>на профессиональный доход».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2024 году в рамках совершенствования налогового законодательства были приняты следующие решения, вступившие в силу </w:t>
      </w:r>
      <w:r>
        <w:rPr>
          <w:sz w:val="28"/>
          <w:szCs w:val="28"/>
        </w:rPr>
        <w:br w:type="textWrapping" w:clear="all"/>
        <w:t>с 01.01.2025: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9281E">
        <w:rPr>
          <w:sz w:val="28"/>
          <w:szCs w:val="28"/>
        </w:rPr>
        <w:t> </w:t>
      </w:r>
      <w:r>
        <w:rPr>
          <w:sz w:val="28"/>
          <w:szCs w:val="28"/>
        </w:rPr>
        <w:t>утверждены новые подходы к установлению дифференцированных налоговых ставок по УСН, направленные на стимулирование предпринимательской активности в приоритет</w:t>
      </w:r>
      <w:bookmarkStart w:id="0" w:name="_GoBack"/>
      <w:bookmarkEnd w:id="0"/>
      <w:r>
        <w:rPr>
          <w:sz w:val="28"/>
          <w:szCs w:val="28"/>
        </w:rPr>
        <w:t xml:space="preserve">ных направлениях развития </w:t>
      </w:r>
      <w:r>
        <w:rPr>
          <w:sz w:val="28"/>
          <w:szCs w:val="28"/>
        </w:rPr>
        <w:lastRenderedPageBreak/>
        <w:t xml:space="preserve">малого и среднего бизнеса </w:t>
      </w:r>
      <w:r>
        <w:rPr>
          <w:i/>
          <w:szCs w:val="28"/>
        </w:rPr>
        <w:t>(Закон Мурманской области от 01.11.2024 № 3040-01-ЗМО)</w:t>
      </w:r>
      <w:r>
        <w:rPr>
          <w:sz w:val="28"/>
          <w:szCs w:val="28"/>
        </w:rPr>
        <w:t>, предусматривающие: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сохранение минимальных налоговых ставок 5 % (для объекта налогообложения «доходы-расходы») и 1 % (для объекта налогообложения «доходы») для следующих категорий предпринимателей: участники специальной военной операции и их жены, многодетные семьи, социально ориентированные некоммерческие организации и социальные предприятия. Также минимальные ставки сохраняются для организаций общественного питания, производителей продуктов и напитков;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установление льготных ставок 10 % (для объекта налогообложения «доходы-расходы») и 3 % (для объекта налогообложения «доходы») </w:t>
      </w:r>
      <w:r>
        <w:rPr>
          <w:sz w:val="28"/>
          <w:szCs w:val="28"/>
        </w:rPr>
        <w:br/>
        <w:t xml:space="preserve">для следующих видов деятельности: услуги в сфере образования, здравоохранения, производства лекарственных средств, в области научных исследований, ремонта и технического обслуживания судов, в сфере предоставления социальных услуг, в области искусства, деятельности объектов культуры, услуги в сфере спорта,  деятельность общественных организаций, </w:t>
      </w:r>
      <w:r>
        <w:rPr>
          <w:sz w:val="28"/>
          <w:szCs w:val="28"/>
        </w:rPr>
        <w:br/>
        <w:t>а также услуги по предоставлению мест для временного проживания;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сохранение льготных условий для действующих резидентов АЗРФ;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установление ставок для всех остальных предпринимателей на уровне 15 % (для объекта налогообложения «доходы-расходы») и 6 % (для объекта налогообложения «доходы»);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введен в действие на территории Мурманской области специальный налоговый режим «Автоматизированная упрощенная система налогообложения» </w:t>
      </w:r>
      <w:r>
        <w:rPr>
          <w:i/>
          <w:szCs w:val="28"/>
        </w:rPr>
        <w:t>(Закон Мурманской области от 28.11.2024 № 3054-01-ЗМО)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  <w:t xml:space="preserve">для организаций и индивидуальных предпринимателей с годовым доходом </w:t>
      </w:r>
      <w:r>
        <w:rPr>
          <w:sz w:val="28"/>
          <w:szCs w:val="28"/>
        </w:rPr>
        <w:br/>
        <w:t>не более 60 млн рублей и средней численности работников не более 5 человек, предусматривающий автоматический расчет налога и отмену налоговой отчетности и отчетности в Фонд пенсионного и социального страхования;</w:t>
      </w:r>
    </w:p>
    <w:p w:rsidR="00654424" w:rsidRDefault="00654424" w:rsidP="00654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внесены изменения в Закон Мурманской области «О патентной системе налогообложения на территории Мурманской области», предусматривающие уточнение перечня видов предпринимательской деятельности, в отношении которых применяется патентная система налогообложения </w:t>
      </w:r>
      <w:r>
        <w:rPr>
          <w:i/>
          <w:szCs w:val="28"/>
        </w:rPr>
        <w:t>(далее – ПСН)</w:t>
      </w:r>
      <w:r>
        <w:rPr>
          <w:sz w:val="28"/>
          <w:szCs w:val="28"/>
        </w:rPr>
        <w:t xml:space="preserve">, индексацию размера потенциально возможного к получению предпринимателями годового дохода по видам деятельности для применения ПСН с учетом уровня инфляции, а также введение предусмотренного Налоговым кодексом Российской Федерации коэффициента-дефлятора, предусматривающего ежегодную индексацию вышеуказанного дохода </w:t>
      </w:r>
      <w:r>
        <w:rPr>
          <w:i/>
          <w:szCs w:val="28"/>
        </w:rPr>
        <w:t>(Закон Мурманской области от 01.11.2024 № 3043-01-ЗМО)</w:t>
      </w:r>
      <w:r>
        <w:rPr>
          <w:sz w:val="28"/>
          <w:szCs w:val="28"/>
        </w:rPr>
        <w:t>.</w:t>
      </w:r>
    </w:p>
    <w:p w:rsidR="00A23575" w:rsidRDefault="00A23575" w:rsidP="00A23575">
      <w:pPr>
        <w:widowControl w:val="0"/>
        <w:ind w:firstLine="709"/>
        <w:jc w:val="both"/>
        <w:rPr>
          <w:sz w:val="32"/>
          <w:szCs w:val="28"/>
        </w:rPr>
      </w:pPr>
    </w:p>
    <w:sectPr w:rsidR="00A23575" w:rsidSect="00D45B26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263" w:rsidRDefault="002D1263" w:rsidP="00D45B26">
      <w:r>
        <w:separator/>
      </w:r>
    </w:p>
  </w:endnote>
  <w:endnote w:type="continuationSeparator" w:id="0">
    <w:p w:rsidR="002D1263" w:rsidRDefault="002D1263" w:rsidP="00D4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263" w:rsidRDefault="002D1263" w:rsidP="00D45B26">
      <w:r>
        <w:separator/>
      </w:r>
    </w:p>
  </w:footnote>
  <w:footnote w:type="continuationSeparator" w:id="0">
    <w:p w:rsidR="002D1263" w:rsidRDefault="002D1263" w:rsidP="00D45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806542"/>
      <w:docPartObj>
        <w:docPartGallery w:val="Page Numbers (Top of Page)"/>
        <w:docPartUnique/>
      </w:docPartObj>
    </w:sdtPr>
    <w:sdtEndPr/>
    <w:sdtContent>
      <w:p w:rsidR="00D45B26" w:rsidRDefault="00D45B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1C6">
          <w:rPr>
            <w:noProof/>
          </w:rPr>
          <w:t>4</w:t>
        </w:r>
        <w:r>
          <w:fldChar w:fldCharType="end"/>
        </w:r>
      </w:p>
    </w:sdtContent>
  </w:sdt>
  <w:p w:rsidR="00D45B26" w:rsidRDefault="00D45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6D"/>
    <w:rsid w:val="00175DF2"/>
    <w:rsid w:val="001D362D"/>
    <w:rsid w:val="001E0B1A"/>
    <w:rsid w:val="001E36A6"/>
    <w:rsid w:val="0024792E"/>
    <w:rsid w:val="00276467"/>
    <w:rsid w:val="002B5A6D"/>
    <w:rsid w:val="002D1263"/>
    <w:rsid w:val="00320B65"/>
    <w:rsid w:val="005457EF"/>
    <w:rsid w:val="006079EB"/>
    <w:rsid w:val="00642F9D"/>
    <w:rsid w:val="00654424"/>
    <w:rsid w:val="0069281E"/>
    <w:rsid w:val="00812528"/>
    <w:rsid w:val="009941C6"/>
    <w:rsid w:val="00A23575"/>
    <w:rsid w:val="00B8026B"/>
    <w:rsid w:val="00BD50BB"/>
    <w:rsid w:val="00D45B26"/>
    <w:rsid w:val="00F1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FAA"/>
  <w15:chartTrackingRefBased/>
  <w15:docId w15:val="{BB53F4CA-4F14-4E54-9C80-B6CB8677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B5A6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5A6D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a3">
    <w:name w:val="Normal (Web)"/>
    <w:basedOn w:val="a"/>
    <w:uiPriority w:val="99"/>
    <w:semiHidden/>
    <w:unhideWhenUsed/>
    <w:rsid w:val="00D45B26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45B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45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20B6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Свитина Виктория Сергеевна</dc:creator>
  <cp:keywords/>
  <dc:description/>
  <cp:lastModifiedBy>Свитина Виктория Сергеевна</cp:lastModifiedBy>
  <cp:revision>17</cp:revision>
  <dcterms:created xsi:type="dcterms:W3CDTF">2025-11-28T09:15:00Z</dcterms:created>
  <dcterms:modified xsi:type="dcterms:W3CDTF">2025-11-28T10:09:00Z</dcterms:modified>
</cp:coreProperties>
</file>