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86E" w:rsidRDefault="00BC586E">
      <w:pPr>
        <w:spacing w:after="0" w:line="26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E62" w:rsidRPr="00B03BF7" w:rsidRDefault="0084370B">
      <w:pPr>
        <w:spacing w:after="0" w:line="26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  <w:r w:rsidR="00B03BF7" w:rsidRPr="00B03BF7">
        <w:rPr>
          <w:sz w:val="27"/>
          <w:szCs w:val="27"/>
        </w:rPr>
        <w:t xml:space="preserve"> </w:t>
      </w:r>
      <w:r w:rsidR="00B03BF7" w:rsidRPr="00B03BF7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предоставленных региональных налоговых льгот за 2013 год</w:t>
      </w:r>
    </w:p>
    <w:p w:rsidR="00535E62" w:rsidRDefault="00535E62">
      <w:pPr>
        <w:spacing w:after="0" w:line="268" w:lineRule="auto"/>
        <w:ind w:firstLine="708"/>
        <w:jc w:val="both"/>
      </w:pPr>
    </w:p>
    <w:p w:rsidR="00535E62" w:rsidRDefault="0084370B">
      <w:pPr>
        <w:spacing w:after="0" w:line="268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Региональные налоговые льготы предоставляются в соответствии с законами Мурманской области:</w:t>
      </w:r>
    </w:p>
    <w:p w:rsidR="00535E62" w:rsidRDefault="0084370B">
      <w:pPr>
        <w:spacing w:after="0" w:line="268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от 09.11.2001 № 304-01-ЗМО </w:t>
      </w:r>
      <w:r>
        <w:rPr>
          <w:rFonts w:ascii="Times New Roman" w:hAnsi="Times New Roman" w:cs="Times New Roman"/>
          <w:bCs/>
          <w:sz w:val="28"/>
          <w:szCs w:val="28"/>
        </w:rPr>
        <w:t>(ред. от 07.11.2013)</w:t>
      </w:r>
      <w:r>
        <w:rPr>
          <w:rFonts w:ascii="Times New Roman" w:hAnsi="Times New Roman" w:cs="Times New Roman"/>
          <w:sz w:val="28"/>
          <w:szCs w:val="28"/>
        </w:rPr>
        <w:t xml:space="preserve"> «О ставке налога на прибыль организаций, зачисляемого в бюджет Мурманской области, для отдельных категорий налогоплательщиков»;</w:t>
      </w:r>
    </w:p>
    <w:p w:rsidR="00535E62" w:rsidRDefault="0084370B">
      <w:pPr>
        <w:spacing w:after="0" w:line="268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от 26.11.2003 № 446-01-ЗМО </w:t>
      </w:r>
      <w:r>
        <w:rPr>
          <w:rFonts w:ascii="Times New Roman" w:hAnsi="Times New Roman" w:cs="Times New Roman"/>
          <w:bCs/>
          <w:sz w:val="28"/>
          <w:szCs w:val="28"/>
        </w:rPr>
        <w:t>(ред. от 28.11.2013)</w:t>
      </w:r>
      <w:r>
        <w:rPr>
          <w:rFonts w:ascii="Times New Roman" w:hAnsi="Times New Roman" w:cs="Times New Roman"/>
          <w:sz w:val="28"/>
          <w:szCs w:val="28"/>
        </w:rPr>
        <w:t xml:space="preserve"> «О налоге на имущество организаций»;</w:t>
      </w:r>
    </w:p>
    <w:p w:rsidR="00535E62" w:rsidRDefault="0084370B">
      <w:pPr>
        <w:spacing w:after="0" w:line="268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- от 18.11.2002 №  368-01-ЗМО (ред. от 31.05.2013) «О  транспортном налоге»;</w:t>
      </w:r>
    </w:p>
    <w:p w:rsidR="00535E62" w:rsidRDefault="0084370B">
      <w:pPr>
        <w:spacing w:after="0" w:line="268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- от 03.03.2009 № 1075-01-ЗМО «Об  установлении дифференцированных налоговых ставок в зависимости от категорий налогоплательщиков по налогу, взимаемому в связи с применением упрощенной системы налогообложения».</w:t>
      </w:r>
    </w:p>
    <w:p w:rsidR="00535E62" w:rsidRDefault="0084370B">
      <w:pPr>
        <w:spacing w:after="0" w:line="268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Оценка эффективности налоговых льгот за 2013 год проведена на основании данных, предоставленных Управлением ФНС России по Мурманской области в рамках Соглашения по информационному взаимодействию, заключенному с Правительством Мурманской области, а также информации, предоставленной органами исполнительной власти Мурманской области, и налогоплательщиками, получившими налоговые льготы.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2013 году льготами, установленными законами Мурманской области, воспользовались 1 459 хозяйствующих субъектов, что на 5,9% меньше аналогичного показателя прошлого года. Сведения, необходимые для проведения оценки, предоставили 60,4% от общего числа запрошенных налогоплательщиков (уменьшение на 8,6 процентных пункта по сравнению с 2012 годом связано  с  низким процентом предоставления сведений налогоплательщиками, применяющими упрощенную систему налогообложения).  В связи с ежегодным снижением доли налогоплательщиков, предоставивших сведения для проведения оценки эффективности налоговых льгот по налогу, взимаемому в связи с применением упрощенной системы налогообложения, в общем количестве налогоплательщиков, воспользовавшихся данными льготами (за 2011 г. – 66,9%, за 2012 г. – 55,4%, за 2013 г. – 46,3%) предлагается совершенствование меха</w:t>
      </w:r>
      <w:r>
        <w:rPr>
          <w:rFonts w:ascii="Times New Roman" w:hAnsi="Times New Roman" w:cs="Times New Roman"/>
          <w:bCs/>
          <w:sz w:val="28"/>
          <w:szCs w:val="28"/>
        </w:rPr>
        <w:t>низма предоставления льгот по данному налогу на основе заключения соглашений, направленных на развитие малого бизнеса.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Общий объем недополученных доходов консолидированного бюджета Мурманской области в связи с предоставлением региональных налоговых льгот в 2013 году сократился на 3,2% по сравнению с 2012 годом и составил</w:t>
      </w:r>
      <w:r>
        <w:rPr>
          <w:rFonts w:ascii="Times New Roman" w:hAnsi="Times New Roman" w:cs="Times New Roman"/>
          <w:b/>
          <w:sz w:val="28"/>
          <w:szCs w:val="28"/>
        </w:rPr>
        <w:t xml:space="preserve"> 1 265,4 млн. рублей. </w:t>
      </w:r>
      <w:r>
        <w:rPr>
          <w:rFonts w:ascii="Times New Roman" w:hAnsi="Times New Roman" w:cs="Times New Roman"/>
          <w:sz w:val="28"/>
          <w:szCs w:val="28"/>
        </w:rPr>
        <w:t xml:space="preserve">Удельный вес региональных льгот в налоговых и </w:t>
      </w:r>
      <w:r>
        <w:rPr>
          <w:rFonts w:ascii="Times New Roman" w:hAnsi="Times New Roman" w:cs="Times New Roman"/>
          <w:sz w:val="28"/>
          <w:szCs w:val="28"/>
        </w:rPr>
        <w:lastRenderedPageBreak/>
        <w:t>неналоговых доходах консолидированного бюджета области снизился на 0,3 процентных пункта и составил 2,6 %.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Изменение объема налоговых льгот, предоставленных в соответствии с законодательными актами Мурманской области, за 2012-2013 годы представлено в следующей таблице.</w:t>
      </w:r>
    </w:p>
    <w:p w:rsidR="00535E62" w:rsidRDefault="00535E62">
      <w:pPr>
        <w:spacing w:after="0" w:line="100" w:lineRule="atLeast"/>
        <w:ind w:firstLine="708"/>
        <w:jc w:val="both"/>
      </w:pPr>
    </w:p>
    <w:tbl>
      <w:tblPr>
        <w:tblW w:w="0" w:type="auto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/>
      </w:tblPr>
      <w:tblGrid>
        <w:gridCol w:w="567"/>
        <w:gridCol w:w="283"/>
        <w:gridCol w:w="5528"/>
        <w:gridCol w:w="1134"/>
        <w:gridCol w:w="1276"/>
        <w:gridCol w:w="1276"/>
      </w:tblGrid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ind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/ снижение, %</w:t>
            </w:r>
          </w:p>
        </w:tc>
      </w:tr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8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Сумма налоговых льгот, предоставленных в соответствии с региональным законодательством, млн. руб.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1 307,2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1 265,4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96,8</w:t>
            </w:r>
          </w:p>
        </w:tc>
      </w:tr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  <w:jc w:val="both"/>
            </w:pPr>
          </w:p>
        </w:tc>
        <w:tc>
          <w:tcPr>
            <w:tcW w:w="58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535E62">
            <w:pPr>
              <w:spacing w:after="0" w:line="100" w:lineRule="atLeast"/>
              <w:jc w:val="center"/>
            </w:pPr>
          </w:p>
        </w:tc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535E62">
            <w:pPr>
              <w:spacing w:after="0" w:line="100" w:lineRule="atLeast"/>
              <w:jc w:val="center"/>
            </w:pPr>
          </w:p>
        </w:tc>
      </w:tr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  <w:jc w:val="both"/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</w:pPr>
          </w:p>
        </w:tc>
        <w:tc>
          <w:tcPr>
            <w:tcW w:w="552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 налогу на имущество организаций, млн. руб.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1 166,7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95,9</w:t>
            </w:r>
          </w:p>
        </w:tc>
      </w:tr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  <w:jc w:val="both"/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</w:pPr>
          </w:p>
        </w:tc>
        <w:tc>
          <w:tcPr>
            <w:tcW w:w="552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 транспортному налогу, млн. руб.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121,9</w:t>
            </w:r>
          </w:p>
        </w:tc>
      </w:tr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  <w:jc w:val="both"/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</w:pPr>
          </w:p>
        </w:tc>
        <w:tc>
          <w:tcPr>
            <w:tcW w:w="552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 налогу, взимаемому в связи с применением упрощенной системы налогообложения, млн. руб.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93,6</w:t>
            </w:r>
          </w:p>
        </w:tc>
      </w:tr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  <w:jc w:val="both"/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</w:pPr>
          </w:p>
        </w:tc>
        <w:tc>
          <w:tcPr>
            <w:tcW w:w="552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 налогу на прибыль организаций, млн. руб.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811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Налоговые доходы консолидированного бюджета области, млн. руб.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41 236,8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45 443,7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110,2</w:t>
            </w:r>
          </w:p>
        </w:tc>
      </w:tr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  <w:jc w:val="both"/>
            </w:pPr>
          </w:p>
        </w:tc>
        <w:tc>
          <w:tcPr>
            <w:tcW w:w="58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ru-RU"/>
              </w:rPr>
              <w:t>удельный вес льгот в налоговых доходах консолидированного бюджета области, %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-0,4</w:t>
            </w:r>
          </w:p>
        </w:tc>
      </w:tr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8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Налоговые и неналоговые доходы консолидированного бюджета области, млн. руб.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44 631,1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48 983,2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109,8</w:t>
            </w:r>
          </w:p>
        </w:tc>
      </w:tr>
      <w:tr w:rsidR="00535E62">
        <w:trPr>
          <w:cantSplit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535E62">
            <w:pPr>
              <w:spacing w:after="0" w:line="100" w:lineRule="atLeast"/>
              <w:jc w:val="both"/>
            </w:pPr>
          </w:p>
        </w:tc>
        <w:tc>
          <w:tcPr>
            <w:tcW w:w="58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ru-RU"/>
              </w:rPr>
              <w:t>удельный вес льгот в налоговых и неналоговых доходах консолидированного бюджета области, %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5E62" w:rsidRDefault="0084370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-0,3</w:t>
            </w:r>
          </w:p>
        </w:tc>
      </w:tr>
    </w:tbl>
    <w:p w:rsidR="00535E62" w:rsidRDefault="00535E62">
      <w:pPr>
        <w:spacing w:after="0" w:line="100" w:lineRule="atLeast"/>
        <w:ind w:firstLine="708"/>
        <w:jc w:val="both"/>
      </w:pPr>
    </w:p>
    <w:p w:rsidR="00535E62" w:rsidRDefault="0084370B">
      <w:pPr>
        <w:spacing w:after="0" w:line="268" w:lineRule="auto"/>
        <w:ind w:firstLine="709"/>
        <w:jc w:val="both"/>
        <w:rPr>
          <w:rFonts w:ascii="Times New Roman" w:hAnsi="Times New Roman" w:cs="Times New Roman"/>
          <w:color w:val="5F497A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выпадающих доходов от предоставления региональных налоговых льгот по видам налогов в 2012-2013 </w:t>
      </w:r>
      <w:r w:rsidRPr="000F7776">
        <w:rPr>
          <w:rFonts w:ascii="Times New Roman" w:hAnsi="Times New Roman" w:cs="Times New Roman"/>
          <w:sz w:val="28"/>
          <w:szCs w:val="28"/>
        </w:rPr>
        <w:t>годах представлена на диаграмме.</w:t>
      </w:r>
      <w:r>
        <w:rPr>
          <w:rFonts w:ascii="Times New Roman" w:hAnsi="Times New Roman" w:cs="Times New Roman"/>
          <w:color w:val="5F497A"/>
          <w:sz w:val="27"/>
          <w:szCs w:val="27"/>
          <w:lang w:eastAsia="ru-RU"/>
        </w:rPr>
        <w:t xml:space="preserve"> </w:t>
      </w:r>
    </w:p>
    <w:p w:rsidR="000F7776" w:rsidRDefault="000F7776">
      <w:pPr>
        <w:spacing w:after="0" w:line="268" w:lineRule="auto"/>
        <w:ind w:firstLine="709"/>
        <w:jc w:val="both"/>
      </w:pPr>
      <w:r w:rsidRPr="000F7776">
        <w:rPr>
          <w:noProof/>
          <w:lang w:eastAsia="ru-RU"/>
        </w:rPr>
        <w:drawing>
          <wp:inline distT="0" distB="0" distL="0" distR="0">
            <wp:extent cx="6264275" cy="2656429"/>
            <wp:effectExtent l="19050" t="0" r="317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2013 году снижение объема предоставленных региональных налоговых льгот отмечается: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по налогу на имущество организаций – на 4,1 % или 49,5 млн. рублей, в основном за счет уменьшения среднегодовой стоимости основных фондов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областных и муниципальных учреждений, являющихся основной льготной категорией по данному налогу, а также стоимости имущества органов местного самоуправления Мурманской области и органов законодательной (представительной) и исполнительной власти Мурманской области.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по налогу, взимаемому в связи с применением упрощенной системы налогообложения – на 6,4 % или 2,8 млн. рублей в связи с сокращением числа налогоплательщиков, воспользовавшихся данной льготой на 39 единиц по сравнению с 2012 годом.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 транспортному налогу объем предоставленных льгот увеличился на 21,9 % или 10,5 млн. рублей по причине увеличения числа транспортных средств, принадлежащих физическим лицам, получающим пенсии, а также лицам, отнесенным к категориям ветеранов боевых действий, инвалидов боевых действий.</w:t>
      </w:r>
    </w:p>
    <w:p w:rsidR="00535E62" w:rsidRDefault="0084370B">
      <w:pPr>
        <w:spacing w:after="0" w:line="26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региональных налоговых льгот по основным направлениям их предоставления за 2012-2013 годы </w:t>
      </w:r>
      <w:r w:rsidRPr="000F7776">
        <w:rPr>
          <w:rFonts w:ascii="Times New Roman" w:hAnsi="Times New Roman" w:cs="Times New Roman"/>
          <w:sz w:val="28"/>
          <w:szCs w:val="28"/>
        </w:rPr>
        <w:t>представлена в таблице.</w:t>
      </w:r>
    </w:p>
    <w:p w:rsidR="000F7776" w:rsidRDefault="000F7776">
      <w:pPr>
        <w:spacing w:after="0" w:line="268" w:lineRule="auto"/>
        <w:ind w:firstLine="709"/>
        <w:jc w:val="both"/>
      </w:pPr>
    </w:p>
    <w:tbl>
      <w:tblPr>
        <w:tblpPr w:leftFromText="180" w:rightFromText="180" w:vertAnchor="text" w:tblpY="1"/>
        <w:tblOverlap w:val="never"/>
        <w:tblW w:w="9639" w:type="dxa"/>
        <w:tblInd w:w="108" w:type="dxa"/>
        <w:tblLook w:val="04A0"/>
      </w:tblPr>
      <w:tblGrid>
        <w:gridCol w:w="5387"/>
        <w:gridCol w:w="1134"/>
        <w:gridCol w:w="992"/>
        <w:gridCol w:w="1134"/>
        <w:gridCol w:w="992"/>
      </w:tblGrid>
      <w:tr w:rsidR="000F7776" w:rsidRPr="0042391D" w:rsidTr="00944A0E">
        <w:trPr>
          <w:trHeight w:val="37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показателей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0F7776" w:rsidRPr="0042391D" w:rsidTr="00944A0E">
        <w:trPr>
          <w:trHeight w:val="37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0F7776" w:rsidRPr="0042391D" w:rsidTr="00944A0E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сумма региональных налоговых льгот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1 307,2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100</w:t>
            </w:r>
          </w:p>
        </w:tc>
      </w:tr>
      <w:tr w:rsidR="000F7776" w:rsidRPr="0042391D" w:rsidTr="00944A0E">
        <w:trPr>
          <w:trHeight w:val="27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0F7776" w:rsidRPr="0042391D" w:rsidTr="00944A0E">
        <w:trPr>
          <w:trHeight w:val="69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льготы, направленные на ликвидацию встречных финансовых потоков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81,2</w:t>
            </w:r>
          </w:p>
        </w:tc>
      </w:tr>
      <w:tr w:rsidR="000F7776" w:rsidRPr="0042391D" w:rsidTr="00944A0E">
        <w:trPr>
          <w:trHeight w:val="1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0F7776" w:rsidRPr="0042391D" w:rsidTr="00944A0E">
        <w:trPr>
          <w:trHeight w:val="54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льготы, имеющие социальную направленность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5,2</w:t>
            </w:r>
          </w:p>
        </w:tc>
      </w:tr>
      <w:tr w:rsidR="000F7776" w:rsidRPr="0042391D" w:rsidTr="00944A0E">
        <w:trPr>
          <w:trHeight w:val="28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0F7776" w:rsidRPr="0042391D" w:rsidTr="00944A0E">
        <w:trPr>
          <w:trHeight w:val="59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льготы, направленные на поддержку и развитие экономики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0F7776" w:rsidRPr="0042391D" w:rsidTr="00944A0E">
        <w:trPr>
          <w:trHeight w:val="24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42391D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76" w:rsidRPr="00A40F91" w:rsidRDefault="000F7776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</w:tbl>
    <w:p w:rsidR="00535E62" w:rsidRDefault="00535E62">
      <w:pPr>
        <w:spacing w:after="0" w:line="100" w:lineRule="atLeast"/>
        <w:ind w:firstLine="709"/>
        <w:jc w:val="both"/>
      </w:pPr>
    </w:p>
    <w:p w:rsidR="00535E62" w:rsidRDefault="0084370B">
      <w:pPr>
        <w:spacing w:after="0" w:line="268" w:lineRule="auto"/>
        <w:ind w:firstLine="709"/>
        <w:jc w:val="both"/>
      </w:pPr>
      <w:bookmarkStart w:id="0" w:name="__UnoMark__532_1616031633"/>
      <w:bookmarkEnd w:id="0"/>
      <w:r>
        <w:rPr>
          <w:rFonts w:ascii="Times New Roman" w:hAnsi="Times New Roman" w:cs="Times New Roman"/>
          <w:sz w:val="28"/>
          <w:szCs w:val="28"/>
        </w:rPr>
        <w:t>На протяжении рассматриваемого периода наибольшую долю региональных налоговых льгот составляют льготы, предоставленные областным и муниципальным бюджетным, автономным и казенным учреждениям, органам государственной власти и органам местного самоуправления Мурманской области, целью предоставления которых является ликвидация встречных финансовых потоков.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Региональные налоговые льготы, направленные на поддержку и развитие экономики области, возросли по сравнению с 2012 годом на 5,</w:t>
      </w:r>
      <w:r w:rsidR="000F77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 % или на 9,2 млн. рублей за счет обновления основных фондов предприятий, производящих сельхозпродукцию, осуществляющих ее первичную и последующую (промышленную) переработку и реализующих эту продукцию, а </w:t>
      </w:r>
      <w:r>
        <w:rPr>
          <w:rFonts w:ascii="Times New Roman" w:hAnsi="Times New Roman" w:cs="Times New Roman"/>
          <w:sz w:val="28"/>
          <w:szCs w:val="28"/>
        </w:rPr>
        <w:lastRenderedPageBreak/>
        <w:t>также появления нового налогоплательщика - организации, осуществляющей воспроизводство и (или) товарное выращивание рыбы, заявившей право на получение льготы по налогу на имущество организаций.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Налоговые преференции, имеющие социальную направленность, возросли по сравнению с предыдущим годом на 18,</w:t>
      </w:r>
      <w:r w:rsidR="000F777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% или 10,4 млн. рублей, в основном за счет увеличения объема льгот по транспортному налогу, предоставленных социально незащищенным группам населения, а также льгот по налогу на имущество, предоставленных организациям в отношении объектов физкультуры и спорта (увеличение стоимости имущества в результате выполнения работ по строительству и реконструкции спортивных сооружений).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налоговых льгот, предоставленных законодательными актами Мурманской области в целях оказания государственной поддержки отдельным категориям налогоплательщиков, за 2013 год приведены в приложении.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 итогам проведенной оценки региональные льготы могут быть признаны эффективными, за исключением следующих льгот: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1) по налогу на прибыль организаций, в части сумм налога, зачисляемых в областной бюджет, и транспортному налогу, предоставленные организациям, единственным собственником которых являются общественные организации инвалидов. Данная льгота остается невостребованной на протяжении всего периода действия</w:t>
      </w:r>
      <w:r w:rsidR="00FF5E0D">
        <w:rPr>
          <w:rFonts w:ascii="Times New Roman" w:hAnsi="Times New Roman" w:cs="Times New Roman"/>
          <w:sz w:val="28"/>
          <w:szCs w:val="28"/>
        </w:rPr>
        <w:t>.</w:t>
      </w:r>
    </w:p>
    <w:p w:rsidR="00535E62" w:rsidRDefault="00FF5E0D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</w:t>
      </w:r>
      <w:r w:rsidR="0084370B">
        <w:rPr>
          <w:rFonts w:ascii="Times New Roman" w:hAnsi="Times New Roman" w:cs="Times New Roman"/>
          <w:sz w:val="28"/>
          <w:szCs w:val="28"/>
        </w:rPr>
        <w:t>читывая, что целью предоставления льготы, предлагаемой к отмене, была поддержка деятельност</w:t>
      </w:r>
      <w:r w:rsidR="00C70737">
        <w:rPr>
          <w:rFonts w:ascii="Times New Roman" w:hAnsi="Times New Roman" w:cs="Times New Roman"/>
          <w:sz w:val="28"/>
          <w:szCs w:val="28"/>
        </w:rPr>
        <w:t>и</w:t>
      </w:r>
      <w:r w:rsidR="0084370B">
        <w:rPr>
          <w:rFonts w:ascii="Times New Roman" w:hAnsi="Times New Roman" w:cs="Times New Roman"/>
          <w:sz w:val="28"/>
          <w:szCs w:val="28"/>
        </w:rPr>
        <w:t>, направленн</w:t>
      </w:r>
      <w:r w:rsidR="00C70737">
        <w:rPr>
          <w:rFonts w:ascii="Times New Roman" w:hAnsi="Times New Roman" w:cs="Times New Roman"/>
          <w:sz w:val="28"/>
          <w:szCs w:val="28"/>
        </w:rPr>
        <w:t>ой</w:t>
      </w:r>
      <w:r w:rsidR="0084370B">
        <w:rPr>
          <w:rFonts w:ascii="Times New Roman" w:hAnsi="Times New Roman" w:cs="Times New Roman"/>
          <w:sz w:val="28"/>
          <w:szCs w:val="28"/>
        </w:rPr>
        <w:t xml:space="preserve"> на социальную защиту и реабилитацию инвалидов, внесено предложение о предоставлении льготы по налогу на прибыль организаций, в части сумм налога, зачисляемого в областной бюджет, и транспортному налогу учреждениям, единственными собственниками имущества которых являются общероссийские общественные организации инвалидов, созданным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2) по налогу на имущество организаций, предоставленной налогоплательщикам, производящим сельскохозяйственную продукцию, осуществляющие ее первичную и последующую (промышленную) переработку и реализующие эту продукцию (за исключением рыболовецких артелей (колхозов), при условии, что в общем доходе таких организаций рассчитываемая по итогам отчетных (1 квартал, полугодие, 9 месяцев) и налогового периодов доля дохода от реализации произведенной ими сельскохозяйственной продукции, включая продукцию ее первичной и промышленной переработки, произведенную ими из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сельскохозяйственного сырья собственного производства, составляет не менее 70 процентов в связи с несоответствием критериям оценки эффективности.</w:t>
      </w:r>
    </w:p>
    <w:p w:rsidR="00535E62" w:rsidRDefault="0084370B">
      <w:pPr>
        <w:spacing w:after="0" w:line="26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Однако, </w:t>
      </w:r>
      <w:r w:rsidR="00C7073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уч</w:t>
      </w:r>
      <w:r w:rsidR="00C70737">
        <w:rPr>
          <w:rFonts w:ascii="Times New Roman" w:hAnsi="Times New Roman" w:cs="Times New Roman"/>
          <w:sz w:val="28"/>
          <w:szCs w:val="28"/>
        </w:rPr>
        <w:t>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737">
        <w:rPr>
          <w:rFonts w:ascii="Times New Roman" w:hAnsi="Times New Roman" w:cs="Times New Roman"/>
          <w:sz w:val="28"/>
          <w:szCs w:val="28"/>
        </w:rPr>
        <w:t xml:space="preserve">сложностей ведения хозяйственной деятельности представителями данной категории в условиях Крайнего Севера, отказываться от поддержки региональных сельхозтоваропроизводителей несвоевременно. В связи с чем </w:t>
      </w:r>
      <w:r>
        <w:rPr>
          <w:rFonts w:ascii="Times New Roman" w:hAnsi="Times New Roman" w:cs="Times New Roman"/>
          <w:bCs/>
          <w:sz w:val="28"/>
          <w:szCs w:val="28"/>
        </w:rPr>
        <w:t>разрабатываются предложения по изменению показателей, используемых при определении э</w:t>
      </w:r>
      <w:r w:rsidR="008D71CD">
        <w:rPr>
          <w:rFonts w:ascii="Times New Roman" w:hAnsi="Times New Roman" w:cs="Times New Roman"/>
          <w:bCs/>
          <w:sz w:val="28"/>
          <w:szCs w:val="28"/>
        </w:rPr>
        <w:t xml:space="preserve">ффективности налоговой льготы, </w:t>
      </w:r>
      <w:r>
        <w:rPr>
          <w:rFonts w:ascii="Times New Roman" w:hAnsi="Times New Roman" w:cs="Times New Roman"/>
          <w:bCs/>
          <w:sz w:val="28"/>
          <w:szCs w:val="28"/>
        </w:rPr>
        <w:t>на показатели, отражающие специфику хозяйствования данной категории налогоплательщиков.</w:t>
      </w:r>
    </w:p>
    <w:sectPr w:rsidR="00535E62" w:rsidSect="00535E62">
      <w:headerReference w:type="default" r:id="rId7"/>
      <w:pgSz w:w="11906" w:h="16838"/>
      <w:pgMar w:top="1134" w:right="737" w:bottom="1134" w:left="130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4C3" w:rsidRDefault="002444C3" w:rsidP="00535E62">
      <w:pPr>
        <w:spacing w:after="0" w:line="240" w:lineRule="auto"/>
      </w:pPr>
      <w:r>
        <w:separator/>
      </w:r>
    </w:p>
  </w:endnote>
  <w:endnote w:type="continuationSeparator" w:id="1">
    <w:p w:rsidR="002444C3" w:rsidRDefault="002444C3" w:rsidP="00535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4C3" w:rsidRDefault="002444C3" w:rsidP="00535E62">
      <w:pPr>
        <w:spacing w:after="0" w:line="240" w:lineRule="auto"/>
      </w:pPr>
      <w:r>
        <w:separator/>
      </w:r>
    </w:p>
  </w:footnote>
  <w:footnote w:type="continuationSeparator" w:id="1">
    <w:p w:rsidR="002444C3" w:rsidRDefault="002444C3" w:rsidP="00535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E62" w:rsidRDefault="00F0168D">
    <w:pPr>
      <w:pStyle w:val="ac"/>
      <w:jc w:val="center"/>
    </w:pPr>
    <w:r>
      <w:fldChar w:fldCharType="begin"/>
    </w:r>
    <w:r w:rsidR="0084370B">
      <w:instrText>PAGE</w:instrText>
    </w:r>
    <w:r>
      <w:fldChar w:fldCharType="separate"/>
    </w:r>
    <w:r w:rsidR="000D6AC8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5E62"/>
    <w:rsid w:val="000D3293"/>
    <w:rsid w:val="000D6AC8"/>
    <w:rsid w:val="000F7776"/>
    <w:rsid w:val="002444C3"/>
    <w:rsid w:val="002F0948"/>
    <w:rsid w:val="002F7BB7"/>
    <w:rsid w:val="00393FF3"/>
    <w:rsid w:val="003B4A22"/>
    <w:rsid w:val="004179D0"/>
    <w:rsid w:val="00535E62"/>
    <w:rsid w:val="00550ED2"/>
    <w:rsid w:val="007413B6"/>
    <w:rsid w:val="007F462D"/>
    <w:rsid w:val="0084274B"/>
    <w:rsid w:val="0084370B"/>
    <w:rsid w:val="008D71CD"/>
    <w:rsid w:val="00B03BF7"/>
    <w:rsid w:val="00BC586E"/>
    <w:rsid w:val="00C70737"/>
    <w:rsid w:val="00F0168D"/>
    <w:rsid w:val="00F60378"/>
    <w:rsid w:val="00FF5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5E62"/>
    <w:pPr>
      <w:suppressAutoHyphens/>
    </w:pPr>
    <w:rPr>
      <w:rFonts w:ascii="Calibri" w:eastAsia="SimSun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535E6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rsid w:val="00535E62"/>
  </w:style>
  <w:style w:type="character" w:customStyle="1" w:styleId="a5">
    <w:name w:val="Нижний колонтитул Знак"/>
    <w:basedOn w:val="a0"/>
    <w:rsid w:val="00535E62"/>
  </w:style>
  <w:style w:type="paragraph" w:customStyle="1" w:styleId="a6">
    <w:name w:val="Заголовок"/>
    <w:basedOn w:val="a"/>
    <w:next w:val="a7"/>
    <w:rsid w:val="00535E6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535E62"/>
    <w:pPr>
      <w:spacing w:after="120"/>
    </w:pPr>
  </w:style>
  <w:style w:type="paragraph" w:styleId="a8">
    <w:name w:val="List"/>
    <w:basedOn w:val="a7"/>
    <w:rsid w:val="00535E62"/>
    <w:rPr>
      <w:rFonts w:cs="Mangal"/>
    </w:rPr>
  </w:style>
  <w:style w:type="paragraph" w:styleId="a9">
    <w:name w:val="Title"/>
    <w:basedOn w:val="a"/>
    <w:rsid w:val="00535E6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rsid w:val="00535E62"/>
    <w:pPr>
      <w:suppressLineNumbers/>
    </w:pPr>
    <w:rPr>
      <w:rFonts w:cs="Mangal"/>
    </w:rPr>
  </w:style>
  <w:style w:type="paragraph" w:styleId="ab">
    <w:name w:val="Balloon Text"/>
    <w:basedOn w:val="a"/>
    <w:rsid w:val="00535E6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535E62"/>
    <w:pPr>
      <w:tabs>
        <w:tab w:val="center" w:pos="4677"/>
        <w:tab w:val="right" w:pos="9355"/>
      </w:tabs>
      <w:spacing w:after="0" w:line="100" w:lineRule="atLeast"/>
    </w:pPr>
  </w:style>
  <w:style w:type="paragraph" w:styleId="ad">
    <w:name w:val="footer"/>
    <w:basedOn w:val="a"/>
    <w:rsid w:val="00535E62"/>
    <w:pPr>
      <w:tabs>
        <w:tab w:val="center" w:pos="4677"/>
        <w:tab w:val="right" w:pos="9355"/>
      </w:tabs>
      <w:spacing w:after="0" w:line="100" w:lineRule="atLeast"/>
    </w:pPr>
  </w:style>
  <w:style w:type="paragraph" w:customStyle="1" w:styleId="ConsPlusNormal">
    <w:name w:val="ConsPlusNormal"/>
    <w:rsid w:val="00535E62"/>
    <w:pPr>
      <w:suppressAutoHyphens/>
      <w:spacing w:after="0" w:line="100" w:lineRule="atLeast"/>
    </w:pPr>
    <w:rPr>
      <w:rFonts w:ascii="Arial" w:eastAsia="Times New Roman" w:hAnsi="Arial" w:cs="Arial"/>
      <w:sz w:val="20"/>
      <w:szCs w:val="20"/>
    </w:rPr>
  </w:style>
  <w:style w:type="paragraph" w:customStyle="1" w:styleId="ae">
    <w:name w:val="Содержимое врезки"/>
    <w:basedOn w:val="a7"/>
    <w:rsid w:val="00535E6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view3D>
      <c:rotX val="20"/>
      <c:perspective val="20"/>
    </c:view3D>
    <c:sideWall>
      <c:spPr>
        <a:noFill/>
        <a:ln>
          <a:noFill/>
        </a:ln>
      </c:spPr>
    </c:sideWall>
    <c:backWall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1.3735125214611461E-4"/>
          <c:y val="8.8010275311330784E-4"/>
          <c:w val="0.60976409527756403"/>
          <c:h val="0.77127901565496026"/>
        </c:manualLayout>
      </c:layout>
      <c:bar3DChart>
        <c:barDir val="col"/>
        <c:grouping val="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налог на прибыль организаций </c:v>
                </c:pt>
              </c:strCache>
            </c:strRef>
          </c:tx>
          <c:dLbls>
            <c:dLbl>
              <c:idx val="0"/>
              <c:layout>
                <c:manualLayout>
                  <c:x val="9.6240601503759349E-2"/>
                  <c:y val="1.4184397163120564E-2"/>
                </c:manualLayout>
              </c:layout>
              <c:tx>
                <c:rich>
                  <a:bodyPr/>
                  <a:lstStyle/>
                  <a:p>
                    <a:pPr>
                      <a:defRPr baseline="0">
                        <a:latin typeface="Times New Roman" pitchFamily="18" charset="0"/>
                      </a:defRPr>
                    </a:pPr>
                    <a:r>
                      <a:rPr lang="ru-RU" sz="800" baseline="0">
                        <a:latin typeface="Times New Roman" pitchFamily="18" charset="0"/>
                      </a:rPr>
                      <a:t>0,01%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pPr/>
              <c:showVal val="1"/>
            </c:dLbl>
            <c:dLbl>
              <c:idx val="1"/>
              <c:layout>
                <c:manualLayout>
                  <c:x val="9.8245614035087733E-2"/>
                  <c:y val="8.6681425756733423E-17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0,02</a:t>
                    </a:r>
                    <a:r>
                      <a:rPr lang="ru-RU" sz="800" baseline="0"/>
                      <a:t>%</a:t>
                    </a:r>
                    <a:endParaRPr lang="en-US" sz="800" baseline="0"/>
                  </a:p>
                </c:rich>
              </c:tx>
              <c:showVal val="1"/>
            </c:dLbl>
            <c:showVal val="1"/>
          </c:dLbls>
          <c:cat>
            <c:strRef>
              <c:f>Лист1!$B$1:$C$1</c:f>
              <c:strCache>
                <c:ptCount val="2"/>
                <c:pt idx="0">
                  <c:v>2012 год</c:v>
                </c:pt>
                <c:pt idx="1">
                  <c:v>2013 год</c:v>
                </c:pt>
              </c:strCache>
            </c:str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2</c:v>
                </c:pt>
                <c:pt idx="1">
                  <c:v>2.5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налог, взимаемый в связи с применением УСН</c:v>
                </c:pt>
              </c:strCache>
            </c:strRef>
          </c:tx>
          <c:dLbls>
            <c:dLbl>
              <c:idx val="0"/>
              <c:layout>
                <c:manualLayout>
                  <c:x val="9.6240601503759446E-2"/>
                  <c:y val="-1.8912529550827405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3,29%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dLbl>
              <c:idx val="1"/>
              <c:layout>
                <c:manualLayout>
                  <c:x val="0.10025062656641633"/>
                  <c:y val="-2.8368794326241127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3,18%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numFmt formatCode="0%" sourceLinked="0"/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2012 год</c:v>
                </c:pt>
                <c:pt idx="1">
                  <c:v>2013 год</c:v>
                </c:pt>
              </c:strCache>
            </c:strRef>
          </c:cat>
          <c:val>
            <c:numRef>
              <c:f>Лист1!$B$3:$C$3</c:f>
              <c:numCache>
                <c:formatCode>General</c:formatCode>
                <c:ptCount val="2"/>
                <c:pt idx="0">
                  <c:v>5.3</c:v>
                </c:pt>
                <c:pt idx="1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транспортный налог</c:v>
                </c:pt>
              </c:strCache>
            </c:strRef>
          </c:tx>
          <c:dLbls>
            <c:dLbl>
              <c:idx val="0"/>
              <c:layout>
                <c:manualLayout>
                  <c:x val="9.8245456160085717E-2"/>
                  <c:y val="-4.2553191489361736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3,66%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dLbl>
              <c:idx val="1"/>
              <c:layout>
                <c:manualLayout>
                  <c:x val="9.6240601503759446E-2"/>
                  <c:y val="-4.2553191489361736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4,6%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2012 год</c:v>
                </c:pt>
                <c:pt idx="1">
                  <c:v>2013 год</c:v>
                </c:pt>
              </c:strCache>
            </c:strRef>
          </c:cat>
          <c:val>
            <c:numRef>
              <c:f>Лист1!$B$4:$C$4</c:f>
              <c:numCache>
                <c:formatCode>General</c:formatCode>
                <c:ptCount val="2"/>
                <c:pt idx="0">
                  <c:v>6.5</c:v>
                </c:pt>
                <c:pt idx="1">
                  <c:v>9.5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налог на имущество организаций</c:v>
                </c:pt>
              </c:strCache>
            </c:strRef>
          </c:tx>
          <c:dLbls>
            <c:dLbl>
              <c:idx val="0"/>
              <c:layout>
                <c:manualLayout>
                  <c:x val="0.10225563909774435"/>
                  <c:y val="-4.3340712878366588E-17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93,04%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0.10426065162907269"/>
                  <c:y val="-9.4562647754137478E-3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92,2%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2012 год</c:v>
                </c:pt>
                <c:pt idx="1">
                  <c:v>2013 год</c:v>
                </c:pt>
              </c:strCache>
            </c:strRef>
          </c:cat>
          <c:val>
            <c:numRef>
              <c:f>Лист1!$B$5:$C$5</c:f>
              <c:numCache>
                <c:formatCode>General</c:formatCode>
                <c:ptCount val="2"/>
                <c:pt idx="0">
                  <c:v>85</c:v>
                </c:pt>
                <c:pt idx="1">
                  <c:v>82</c:v>
                </c:pt>
              </c:numCache>
            </c:numRef>
          </c:val>
        </c:ser>
        <c:gapWidth val="95"/>
        <c:shape val="cylinder"/>
        <c:axId val="48085248"/>
        <c:axId val="48103424"/>
        <c:axId val="0"/>
      </c:bar3DChart>
      <c:catAx>
        <c:axId val="4808524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8103424"/>
        <c:crosses val="autoZero"/>
        <c:auto val="1"/>
        <c:lblAlgn val="ctr"/>
        <c:lblOffset val="100"/>
      </c:catAx>
      <c:valAx>
        <c:axId val="48103424"/>
        <c:scaling>
          <c:orientation val="minMax"/>
        </c:scaling>
        <c:delete val="1"/>
        <c:axPos val="l"/>
        <c:numFmt formatCode="General" sourceLinked="1"/>
        <c:tickLblPos val="nextTo"/>
        <c:crossAx val="480852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8739336530301967"/>
          <c:y val="0.10267158094599879"/>
          <c:w val="0.3324061334438479"/>
          <c:h val="0.64808473408909284"/>
        </c:manualLayout>
      </c:layout>
      <c:txPr>
        <a:bodyPr/>
        <a:lstStyle/>
        <a:p>
          <a:pPr>
            <a:defRPr baseline="0">
              <a:latin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txPr>
    <a:bodyPr/>
    <a:lstStyle/>
    <a:p>
      <a:pPr>
        <a:defRPr sz="1050" baseline="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Емелина</dc:creator>
  <cp:lastModifiedBy>igemelina</cp:lastModifiedBy>
  <cp:revision>2</cp:revision>
  <cp:lastPrinted>2014-09-01T09:04:00Z</cp:lastPrinted>
  <dcterms:created xsi:type="dcterms:W3CDTF">2014-09-04T14:11:00Z</dcterms:created>
  <dcterms:modified xsi:type="dcterms:W3CDTF">2014-09-04T14:11:00Z</dcterms:modified>
</cp:coreProperties>
</file>