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A6" w:rsidRDefault="0078329A" w:rsidP="00154CF3">
      <w:pPr>
        <w:pStyle w:val="af"/>
        <w:rPr>
          <w:lang w:val="en-US"/>
        </w:rPr>
      </w:pPr>
      <w:bookmarkStart w:id="0" w:name="_GoBack"/>
      <w:bookmarkEnd w:id="0"/>
      <w:proofErr w:type="gramStart"/>
      <w:r>
        <w:t>П</w:t>
      </w:r>
      <w:proofErr w:type="gramEnd"/>
      <w:r w:rsidR="00FF62A6">
        <w:rPr>
          <w:noProof/>
        </w:rPr>
        <w:drawing>
          <wp:inline distT="0" distB="0" distL="0" distR="0">
            <wp:extent cx="5939790" cy="8403549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A6" w:rsidRDefault="00FF62A6" w:rsidP="00154CF3">
      <w:pPr>
        <w:pStyle w:val="af"/>
        <w:rPr>
          <w:lang w:val="en-US"/>
        </w:rPr>
      </w:pPr>
    </w:p>
    <w:p w:rsidR="00154CF3" w:rsidRPr="0078329A" w:rsidRDefault="001C4458" w:rsidP="00154CF3">
      <w:pPr>
        <w:pStyle w:val="af"/>
      </w:pPr>
      <w:proofErr w:type="spellStart"/>
      <w:r>
        <w:t>оказатели</w:t>
      </w:r>
      <w:proofErr w:type="spellEnd"/>
      <w:r>
        <w:t xml:space="preserve"> </w:t>
      </w:r>
      <w:r w:rsidR="0078329A">
        <w:t xml:space="preserve"> % </w:t>
      </w:r>
      <w:r w:rsidR="0078329A" w:rsidRPr="00AA7911">
        <w:t>к соответствующему периоду предыдущего года</w:t>
      </w:r>
    </w:p>
    <w:tbl>
      <w:tblPr>
        <w:tblW w:w="5000" w:type="pct"/>
        <w:tblLook w:val="04A0"/>
      </w:tblPr>
      <w:tblGrid>
        <w:gridCol w:w="9570"/>
      </w:tblGrid>
      <w:tr w:rsidR="00F27A55" w:rsidRPr="00C222A1" w:rsidTr="00A02832">
        <w:trPr>
          <w:trHeight w:val="36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000000" w:fill="008080"/>
            <w:hideMark/>
          </w:tcPr>
          <w:p w:rsidR="00F27A55" w:rsidRPr="00AA7911" w:rsidRDefault="00F27A55" w:rsidP="00154CF3">
            <w:pPr>
              <w:pStyle w:val="af"/>
            </w:pPr>
            <w:r w:rsidRPr="00AA7911">
              <w:lastRenderedPageBreak/>
              <w:t>Основные индикаторы социально-экономического развития,</w:t>
            </w:r>
          </w:p>
          <w:p w:rsidR="00F27A55" w:rsidRPr="00C222A1" w:rsidRDefault="00F27A55" w:rsidP="00154CF3">
            <w:pPr>
              <w:pStyle w:val="af"/>
              <w:rPr>
                <w:sz w:val="24"/>
                <w:szCs w:val="24"/>
              </w:rPr>
            </w:pPr>
            <w:r w:rsidRPr="00AA7911">
              <w:t>в % к соответствующему периоду предыдущего года</w:t>
            </w:r>
          </w:p>
        </w:tc>
      </w:tr>
    </w:tbl>
    <w:tbl>
      <w:tblPr>
        <w:tblpPr w:leftFromText="180" w:rightFromText="180" w:vertAnchor="text" w:horzAnchor="margin" w:tblpXSpec="center" w:tblpY="373"/>
        <w:tblW w:w="5000" w:type="pct"/>
        <w:tblLook w:val="04A0"/>
      </w:tblPr>
      <w:tblGrid>
        <w:gridCol w:w="6519"/>
        <w:gridCol w:w="1527"/>
        <w:gridCol w:w="1524"/>
      </w:tblGrid>
      <w:tr w:rsidR="00F27A55" w:rsidRPr="00C222A1" w:rsidTr="009E258E">
        <w:trPr>
          <w:trHeight w:val="283"/>
        </w:trPr>
        <w:tc>
          <w:tcPr>
            <w:tcW w:w="340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F27A55" w:rsidP="00FF5F09">
            <w:pPr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1C381E" w:rsidRPr="00544074" w:rsidRDefault="000542D7" w:rsidP="00DD34D3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январь-</w:t>
            </w:r>
            <w:r w:rsidR="00F5353F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ноябрь</w:t>
            </w:r>
          </w:p>
          <w:p w:rsidR="00F27A55" w:rsidRPr="00544074" w:rsidRDefault="001C381E" w:rsidP="00DD34D3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2019</w:t>
            </w:r>
          </w:p>
        </w:tc>
        <w:tc>
          <w:tcPr>
            <w:tcW w:w="796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1C381E" w:rsidRPr="00544074" w:rsidRDefault="00911DCD" w:rsidP="00DD34D3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январь-</w:t>
            </w:r>
            <w:r w:rsidR="00F5353F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ноябрь</w:t>
            </w:r>
          </w:p>
          <w:p w:rsidR="00F27A55" w:rsidRPr="00544074" w:rsidRDefault="001C381E" w:rsidP="00DD34D3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2018</w:t>
            </w:r>
          </w:p>
        </w:tc>
      </w:tr>
      <w:tr w:rsidR="00F27A55" w:rsidRPr="00C222A1" w:rsidTr="005769B3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Индекс промышленного производства, в том числе по</w:t>
            </w:r>
            <w:r w:rsidR="001211D1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 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видам экономической деятельности: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901C0A" w:rsidP="00C00D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  <w:lang w:val="en-US"/>
              </w:rPr>
              <w:t>10</w:t>
            </w:r>
            <w:r w:rsidR="00377547">
              <w:rPr>
                <w:rFonts w:cs="Times New Roman"/>
                <w:color w:val="000000"/>
                <w:szCs w:val="28"/>
                <w:lang w:val="en-US"/>
              </w:rPr>
              <w:t>5</w:t>
            </w:r>
            <w:r w:rsidR="00471DBB" w:rsidRPr="00251ADA">
              <w:rPr>
                <w:rFonts w:cs="Times New Roman"/>
                <w:color w:val="000000"/>
                <w:szCs w:val="28"/>
              </w:rPr>
              <w:t>,</w:t>
            </w:r>
            <w:r w:rsidR="00D70D4D" w:rsidRPr="00251ADA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471DBB" w:rsidP="00F5353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101,</w:t>
            </w:r>
            <w:r w:rsidR="00F5353F">
              <w:rPr>
                <w:rFonts w:cs="Times New Roman"/>
                <w:color w:val="000000"/>
                <w:szCs w:val="28"/>
              </w:rPr>
              <w:t>6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добыча полезных ископаемых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D70D4D" w:rsidP="00F5353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101,</w:t>
            </w:r>
            <w:r w:rsidR="00F5353F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100,2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обрабатывающие производства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109,3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D70D4D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103,4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8D262D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обеспечение электрической энергией, газом и паром</w:t>
            </w:r>
            <w:r w:rsidR="008D262D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;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кондиционирование воздуха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F5353F" w:rsidP="00F100E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97,7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894272" w:rsidP="00F5353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98</w:t>
            </w:r>
            <w:r w:rsidR="001C381E" w:rsidRPr="00251ADA">
              <w:rPr>
                <w:rFonts w:cs="Times New Roman"/>
                <w:color w:val="000000"/>
                <w:szCs w:val="28"/>
              </w:rPr>
              <w:t>,</w:t>
            </w:r>
            <w:r w:rsidR="00F5353F">
              <w:rPr>
                <w:rFonts w:cs="Times New Roman"/>
                <w:color w:val="000000"/>
                <w:szCs w:val="28"/>
              </w:rPr>
              <w:t>4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8D262D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водоснабжение</w:t>
            </w:r>
            <w:r w:rsidR="008D262D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;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водоотведение, организация сбора </w:t>
            </w:r>
            <w:r w:rsidR="001211D1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          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и утилизации отходов, деятельность по ликвидации загрязнений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96,6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95,8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Индекс производства сельскохозяйственной продукции в</w:t>
            </w:r>
            <w:r w:rsidR="001211D1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 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хозяйствах всех категорий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 w:themeColor="text1"/>
                <w:szCs w:val="28"/>
                <w:vertAlign w:val="superscript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94,6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 w:themeColor="text1"/>
                <w:szCs w:val="28"/>
                <w:vertAlign w:val="superscript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109,1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Объем </w:t>
            </w:r>
            <w:r w:rsidR="001211D1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переработки грузов в морских портах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7A55" w:rsidRPr="00E5759D" w:rsidRDefault="00C86D67" w:rsidP="002028C0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102,</w:t>
            </w:r>
            <w:r w:rsidR="00E5759D" w:rsidRPr="00E5759D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79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E5759D" w:rsidRDefault="00E5759D" w:rsidP="00FF5F09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118,7</w:t>
            </w:r>
          </w:p>
        </w:tc>
      </w:tr>
      <w:tr w:rsidR="00F27A55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544074" w:rsidRDefault="001C381E" w:rsidP="001211D1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Темп роста вылова водных биоресурсов</w:t>
            </w:r>
          </w:p>
        </w:tc>
        <w:tc>
          <w:tcPr>
            <w:tcW w:w="798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FF5F09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98,4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F27A55" w:rsidRPr="00251ADA" w:rsidRDefault="00F5353F" w:rsidP="00F100E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95,1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471C2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Объем инвестиций в основной капитал за счет всех источников финансирования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E471C2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</w:t>
            </w:r>
            <w:r w:rsidR="00C86D67" w:rsidRPr="00E5759D">
              <w:rPr>
                <w:rFonts w:cs="Times New Roman"/>
                <w:color w:val="000000" w:themeColor="text1"/>
                <w:szCs w:val="28"/>
              </w:rPr>
              <w:t>00,2</w:t>
            </w:r>
            <w:r w:rsidRPr="00E5759D">
              <w:rPr>
                <w:rFonts w:cs="Times New Roman"/>
                <w:color w:val="000000" w:themeColor="text1"/>
                <w:szCs w:val="28"/>
                <w:vertAlign w:val="superscript"/>
              </w:rPr>
              <w:t>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C86D67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132,8</w:t>
            </w:r>
            <w:r w:rsidR="00E471C2" w:rsidRPr="00E5759D">
              <w:rPr>
                <w:rFonts w:cs="Times New Roman"/>
                <w:color w:val="000000" w:themeColor="text1"/>
                <w:szCs w:val="28"/>
                <w:vertAlign w:val="superscript"/>
              </w:rPr>
              <w:t>1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471C2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Объем выполненных работ по виду деятельности «Строительство» (в сопоставимых ценах)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F5353F" w:rsidRDefault="00E5759D" w:rsidP="00C00DDB">
            <w:pPr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151,4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F5353F" w:rsidRDefault="00C86D67" w:rsidP="00E471C2">
            <w:pPr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65,</w:t>
            </w:r>
            <w:r w:rsidR="00E5759D" w:rsidRPr="00E5759D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471C2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Ввод общей площади жилья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F5353F" w:rsidRDefault="00E5759D" w:rsidP="00C86D67">
            <w:pPr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133,4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F5353F" w:rsidRDefault="00E5759D" w:rsidP="00E471C2">
            <w:pPr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47</w:t>
            </w:r>
            <w:r w:rsidR="00C86D67" w:rsidRPr="00E5759D">
              <w:rPr>
                <w:rFonts w:cs="Times New Roman"/>
                <w:color w:val="000000" w:themeColor="text1"/>
                <w:szCs w:val="28"/>
              </w:rPr>
              <w:t>,</w:t>
            </w:r>
            <w:r w:rsidRPr="00E5759D">
              <w:rPr>
                <w:rFonts w:cs="Times New Roman"/>
                <w:color w:val="000000" w:themeColor="text1"/>
                <w:szCs w:val="28"/>
              </w:rPr>
              <w:t>8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471C2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Сводный индекс цен и тарифов на товары и платные услуги населению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E471C2" w:rsidP="00C00D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10</w:t>
            </w:r>
            <w:r w:rsidR="00F5353F">
              <w:rPr>
                <w:rFonts w:cs="Times New Roman"/>
                <w:color w:val="000000"/>
                <w:szCs w:val="28"/>
              </w:rPr>
              <w:t>3</w:t>
            </w:r>
            <w:r w:rsidRPr="00251ADA">
              <w:rPr>
                <w:rFonts w:cs="Times New Roman"/>
                <w:color w:val="000000"/>
                <w:szCs w:val="28"/>
                <w:vertAlign w:val="superscript"/>
              </w:rPr>
              <w:t>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E471C2" w:rsidP="00C00D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10</w:t>
            </w:r>
            <w:r w:rsidR="00F5353F">
              <w:rPr>
                <w:rFonts w:cs="Times New Roman"/>
                <w:color w:val="000000"/>
                <w:szCs w:val="28"/>
              </w:rPr>
              <w:t>3,4</w:t>
            </w:r>
            <w:r w:rsidRPr="00251ADA">
              <w:rPr>
                <w:rFonts w:cs="Times New Roman"/>
                <w:color w:val="000000"/>
                <w:szCs w:val="28"/>
                <w:vertAlign w:val="superscript"/>
              </w:rPr>
              <w:t>2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471C2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Среднемесячная номинальная начисленная заработная плата работников по полному кругу организаций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E471C2" w:rsidP="00C00DDB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251ADA">
              <w:rPr>
                <w:rFonts w:cs="Times New Roman"/>
                <w:color w:val="000000" w:themeColor="text1"/>
                <w:szCs w:val="28"/>
              </w:rPr>
              <w:t>107</w:t>
            </w:r>
            <w:r w:rsidR="00894272" w:rsidRPr="00251ADA">
              <w:rPr>
                <w:rFonts w:cs="Times New Roman"/>
                <w:color w:val="000000" w:themeColor="text1"/>
                <w:szCs w:val="28"/>
              </w:rPr>
              <w:t>,</w:t>
            </w:r>
            <w:r w:rsidR="00F5353F">
              <w:rPr>
                <w:rFonts w:cs="Times New Roman"/>
                <w:color w:val="000000" w:themeColor="text1"/>
                <w:szCs w:val="28"/>
              </w:rPr>
              <w:t>7</w:t>
            </w:r>
            <w:r w:rsidR="00834348" w:rsidRPr="00251ADA">
              <w:rPr>
                <w:rFonts w:cs="Times New Roman"/>
                <w:color w:val="000000" w:themeColor="text1"/>
                <w:szCs w:val="28"/>
                <w:vertAlign w:val="superscript"/>
              </w:rPr>
              <w:t>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E161C4" w:rsidP="00C00DD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110,</w:t>
            </w:r>
            <w:r w:rsidR="00F5353F">
              <w:rPr>
                <w:rFonts w:cs="Times New Roman"/>
                <w:color w:val="000000"/>
                <w:szCs w:val="28"/>
              </w:rPr>
              <w:t>7</w:t>
            </w:r>
            <w:r w:rsidR="00834348" w:rsidRPr="00251ADA">
              <w:rPr>
                <w:rFonts w:cs="Times New Roman"/>
                <w:color w:val="000000"/>
                <w:szCs w:val="28"/>
                <w:vertAlign w:val="superscript"/>
              </w:rPr>
              <w:t>3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E7A59">
            <w:pPr>
              <w:jc w:val="righ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 рублях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C00DDB" w:rsidP="007041C1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61</w:t>
            </w:r>
            <w:r w:rsidR="00F5353F">
              <w:rPr>
                <w:rFonts w:cs="Times New Roman"/>
                <w:color w:val="000000"/>
                <w:szCs w:val="28"/>
              </w:rPr>
              <w:t> 208</w:t>
            </w:r>
            <w:r w:rsidR="00E161C4" w:rsidRPr="00251ADA">
              <w:rPr>
                <w:rFonts w:cs="Times New Roman"/>
                <w:color w:val="000000"/>
                <w:szCs w:val="28"/>
              </w:rPr>
              <w:t>,</w:t>
            </w:r>
            <w:r w:rsidR="00F5353F">
              <w:rPr>
                <w:rFonts w:cs="Times New Roman"/>
                <w:color w:val="000000"/>
                <w:szCs w:val="28"/>
              </w:rPr>
              <w:t>8</w:t>
            </w:r>
            <w:r w:rsidR="00834348" w:rsidRPr="00251ADA">
              <w:rPr>
                <w:rFonts w:cs="Times New Roman"/>
                <w:color w:val="000000"/>
                <w:szCs w:val="28"/>
                <w:vertAlign w:val="superscript"/>
              </w:rPr>
              <w:t>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251ADA" w:rsidRDefault="00C00DDB" w:rsidP="007041C1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251ADA">
              <w:rPr>
                <w:rFonts w:cs="Times New Roman"/>
                <w:color w:val="000000"/>
                <w:szCs w:val="28"/>
              </w:rPr>
              <w:t>5</w:t>
            </w:r>
            <w:r w:rsidR="00E161C4" w:rsidRPr="00251ADA">
              <w:rPr>
                <w:rFonts w:cs="Times New Roman"/>
                <w:color w:val="000000"/>
                <w:szCs w:val="28"/>
              </w:rPr>
              <w:t>5 97</w:t>
            </w:r>
            <w:r w:rsidR="00F5353F">
              <w:rPr>
                <w:rFonts w:cs="Times New Roman"/>
                <w:color w:val="000000"/>
                <w:szCs w:val="28"/>
              </w:rPr>
              <w:t>8</w:t>
            </w:r>
            <w:r w:rsidR="00834348" w:rsidRPr="00251ADA">
              <w:rPr>
                <w:rFonts w:cs="Times New Roman"/>
                <w:color w:val="000000"/>
                <w:szCs w:val="28"/>
                <w:vertAlign w:val="superscript"/>
              </w:rPr>
              <w:t>3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Доходы консолидированного бюджета</w:t>
            </w:r>
            <w:r w:rsidR="008151A4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(млн рублей), из</w:t>
            </w:r>
            <w:r w:rsidR="008151A4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 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них:</w:t>
            </w:r>
          </w:p>
        </w:tc>
        <w:tc>
          <w:tcPr>
            <w:tcW w:w="798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E5759D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90 757,6</w:t>
            </w:r>
          </w:p>
        </w:tc>
        <w:tc>
          <w:tcPr>
            <w:tcW w:w="79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E5759D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70 983,4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EE7A59">
            <w:pPr>
              <w:jc w:val="righ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налоговые и неналоговые доходы</w:t>
            </w:r>
          </w:p>
        </w:tc>
        <w:tc>
          <w:tcPr>
            <w:tcW w:w="798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D177E3" w:rsidRDefault="002E64B2" w:rsidP="00471DBB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177E3">
              <w:rPr>
                <w:rFonts w:cs="Times New Roman"/>
                <w:color w:val="000000" w:themeColor="text1"/>
                <w:szCs w:val="28"/>
              </w:rPr>
              <w:t>78</w:t>
            </w:r>
            <w:r w:rsidR="00D177E3" w:rsidRPr="00D177E3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D177E3">
              <w:rPr>
                <w:rFonts w:cs="Times New Roman"/>
                <w:color w:val="000000" w:themeColor="text1"/>
                <w:szCs w:val="28"/>
              </w:rPr>
              <w:t>694,8</w:t>
            </w:r>
          </w:p>
        </w:tc>
        <w:tc>
          <w:tcPr>
            <w:tcW w:w="79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D177E3" w:rsidRDefault="00D177E3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D177E3">
              <w:rPr>
                <w:rFonts w:cs="Times New Roman"/>
                <w:color w:val="000000" w:themeColor="text1"/>
                <w:szCs w:val="28"/>
              </w:rPr>
              <w:t>65 279,9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544074" w:rsidRDefault="00E471C2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Расходы консолидированного бюджета (млн рублей)</w:t>
            </w:r>
          </w:p>
        </w:tc>
        <w:tc>
          <w:tcPr>
            <w:tcW w:w="798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E5759D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81 602,3</w:t>
            </w:r>
          </w:p>
        </w:tc>
        <w:tc>
          <w:tcPr>
            <w:tcW w:w="796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E471C2" w:rsidRPr="00E5759D" w:rsidRDefault="00E5759D" w:rsidP="00E471C2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E5759D">
              <w:rPr>
                <w:rFonts w:cs="Times New Roman"/>
                <w:color w:val="000000" w:themeColor="text1"/>
                <w:szCs w:val="28"/>
              </w:rPr>
              <w:t>69 536,5</w:t>
            </w: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single" w:sz="4" w:space="0" w:color="008080"/>
              <w:bottom w:val="nil"/>
            </w:tcBorders>
            <w:shd w:val="clear" w:color="auto" w:fill="auto"/>
            <w:vAlign w:val="center"/>
          </w:tcPr>
          <w:p w:rsidR="00251ADA" w:rsidRPr="00251ADA" w:rsidRDefault="00251ADA" w:rsidP="00E471C2">
            <w:pPr>
              <w:ind w:firstLineChars="100" w:firstLine="250"/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 xml:space="preserve">1 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Январь-сентябрь</w:t>
            </w:r>
          </w:p>
          <w:p w:rsidR="00E471C2" w:rsidRPr="002E0E9D" w:rsidRDefault="00E471C2" w:rsidP="00F5353F">
            <w:pPr>
              <w:ind w:firstLineChars="100" w:firstLine="250"/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>2</w:t>
            </w:r>
            <w:r w:rsidR="00F5353F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Ноябрь</w:t>
            </w:r>
            <w:r w:rsidR="00834348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к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декабрю предыдущего года</w:t>
            </w:r>
          </w:p>
        </w:tc>
        <w:tc>
          <w:tcPr>
            <w:tcW w:w="798" w:type="pct"/>
            <w:tcBorders>
              <w:top w:val="single" w:sz="4" w:space="0" w:color="008080"/>
              <w:bottom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  <w:tc>
          <w:tcPr>
            <w:tcW w:w="796" w:type="pct"/>
            <w:tcBorders>
              <w:top w:val="single" w:sz="4" w:space="0" w:color="008080"/>
              <w:bottom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71C2" w:rsidRPr="002E0E9D" w:rsidRDefault="00834348" w:rsidP="00F5353F">
            <w:pPr>
              <w:ind w:firstLineChars="100" w:firstLine="250"/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>3</w:t>
            </w:r>
            <w:r w:rsidR="00E471C2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Январь-</w:t>
            </w:r>
            <w:r w:rsidR="00F5353F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октябрь</w:t>
            </w:r>
          </w:p>
        </w:tc>
        <w:tc>
          <w:tcPr>
            <w:tcW w:w="79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  <w:tc>
          <w:tcPr>
            <w:tcW w:w="79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</w:tr>
      <w:tr w:rsidR="00E471C2" w:rsidRPr="00C222A1" w:rsidTr="009E258E">
        <w:trPr>
          <w:trHeight w:val="283"/>
        </w:trPr>
        <w:tc>
          <w:tcPr>
            <w:tcW w:w="3406" w:type="pct"/>
            <w:tcBorders>
              <w:top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ind w:firstLineChars="100" w:firstLine="250"/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798" w:type="pct"/>
            <w:tcBorders>
              <w:top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  <w:tc>
          <w:tcPr>
            <w:tcW w:w="796" w:type="pct"/>
            <w:tcBorders>
              <w:top w:val="nil"/>
            </w:tcBorders>
            <w:shd w:val="clear" w:color="auto" w:fill="auto"/>
            <w:vAlign w:val="center"/>
          </w:tcPr>
          <w:p w:rsidR="00E471C2" w:rsidRPr="002E0E9D" w:rsidRDefault="00E471C2" w:rsidP="00E471C2">
            <w:pPr>
              <w:jc w:val="center"/>
              <w:rPr>
                <w:rFonts w:cs="Times New Roman"/>
                <w:i/>
                <w:color w:val="000000"/>
                <w:sz w:val="25"/>
                <w:szCs w:val="25"/>
              </w:rPr>
            </w:pPr>
          </w:p>
        </w:tc>
      </w:tr>
    </w:tbl>
    <w:p w:rsidR="00D20490" w:rsidRPr="009A11B7" w:rsidRDefault="00D20490" w:rsidP="00B7022D"/>
    <w:p w:rsidR="00D20490" w:rsidRPr="00154CF3" w:rsidRDefault="00D20490" w:rsidP="00154CF3">
      <w:pPr>
        <w:pStyle w:val="af"/>
      </w:pPr>
      <w:r>
        <w:br w:type="column"/>
      </w:r>
      <w:r w:rsidR="0078329A">
        <w:lastRenderedPageBreak/>
        <w:t xml:space="preserve">Показатели </w:t>
      </w:r>
      <w:r w:rsidR="0078329A" w:rsidRPr="00AA7911">
        <w:rPr>
          <w:bCs/>
        </w:rPr>
        <w:t xml:space="preserve"> % к соответствующему месяцу</w:t>
      </w:r>
    </w:p>
    <w:tbl>
      <w:tblPr>
        <w:tblW w:w="5000" w:type="pct"/>
        <w:tblLook w:val="04A0"/>
      </w:tblPr>
      <w:tblGrid>
        <w:gridCol w:w="9570"/>
      </w:tblGrid>
      <w:tr w:rsidR="00F27A55" w:rsidRPr="00C222A1" w:rsidTr="00A02832">
        <w:trPr>
          <w:trHeight w:val="4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000000" w:fill="008080"/>
            <w:vAlign w:val="center"/>
            <w:hideMark/>
          </w:tcPr>
          <w:p w:rsidR="00AA7911" w:rsidRPr="00F93EE2" w:rsidRDefault="00D20490" w:rsidP="00FF5F09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5"/>
                <w:szCs w:val="25"/>
                <w:lang w:eastAsia="ru-RU"/>
              </w:rPr>
            </w:pPr>
            <w:r>
              <w:br w:type="column"/>
            </w:r>
            <w:r w:rsidR="00F27A55" w:rsidRPr="00AA7911">
              <w:rPr>
                <w:rFonts w:eastAsia="Times New Roman" w:cs="Times New Roman"/>
                <w:b/>
                <w:bCs/>
                <w:color w:val="FFFFFF"/>
                <w:sz w:val="25"/>
                <w:szCs w:val="25"/>
                <w:lang w:eastAsia="ru-RU"/>
              </w:rPr>
              <w:t xml:space="preserve">Основные индикаторы социально-экономического развития, </w:t>
            </w:r>
          </w:p>
          <w:p w:rsidR="00F27A55" w:rsidRPr="00AA7911" w:rsidRDefault="00F27A55" w:rsidP="00FF5F09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5"/>
                <w:szCs w:val="25"/>
                <w:lang w:eastAsia="ru-RU"/>
              </w:rPr>
            </w:pPr>
            <w:r w:rsidRPr="00AA7911">
              <w:rPr>
                <w:rFonts w:eastAsia="Times New Roman" w:cs="Times New Roman"/>
                <w:b/>
                <w:bCs/>
                <w:color w:val="FFFFFF"/>
                <w:sz w:val="25"/>
                <w:szCs w:val="25"/>
                <w:lang w:eastAsia="ru-RU"/>
              </w:rPr>
              <w:t>в % к соответствующему месяцу</w:t>
            </w:r>
          </w:p>
        </w:tc>
      </w:tr>
    </w:tbl>
    <w:tbl>
      <w:tblPr>
        <w:tblpPr w:leftFromText="180" w:rightFromText="180" w:vertAnchor="text" w:horzAnchor="margin" w:tblpY="280"/>
        <w:tblW w:w="5000" w:type="pct"/>
        <w:tblLook w:val="04A0"/>
      </w:tblPr>
      <w:tblGrid>
        <w:gridCol w:w="6660"/>
        <w:gridCol w:w="1455"/>
        <w:gridCol w:w="1455"/>
      </w:tblGrid>
      <w:tr w:rsidR="000144AD" w:rsidRPr="00C222A1" w:rsidTr="00F83366">
        <w:trPr>
          <w:trHeight w:val="283"/>
        </w:trPr>
        <w:tc>
          <w:tcPr>
            <w:tcW w:w="3480" w:type="pct"/>
            <w:vMerge w:val="restart"/>
            <w:tcBorders>
              <w:top w:val="single" w:sz="4" w:space="0" w:color="008080"/>
              <w:left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0144AD" w:rsidP="0029488B">
            <w:pPr>
              <w:rPr>
                <w:lang w:eastAsia="ru-RU"/>
              </w:rPr>
            </w:pPr>
          </w:p>
        </w:tc>
        <w:tc>
          <w:tcPr>
            <w:tcW w:w="1520" w:type="pct"/>
            <w:gridSpan w:val="2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F5353F" w:rsidP="00F83366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ноя</w:t>
            </w:r>
            <w:r w:rsidR="004F60CD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брь</w:t>
            </w:r>
            <w:r w:rsidR="001C381E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2019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vMerge/>
            <w:tcBorders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0144AD" w:rsidP="00F83366">
            <w:pPr>
              <w:jc w:val="lef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1C381E" w:rsidRPr="00544074" w:rsidRDefault="000542D7" w:rsidP="00F83366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к </w:t>
            </w:r>
            <w:r w:rsidR="00F5353F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октябрю</w:t>
            </w:r>
          </w:p>
          <w:p w:rsidR="000144AD" w:rsidRPr="00544074" w:rsidRDefault="001C381E" w:rsidP="00F83366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2019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1C381E" w:rsidRDefault="00343F7A" w:rsidP="00F83366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к </w:t>
            </w:r>
            <w:r w:rsidR="00F5353F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ноябрю</w:t>
            </w:r>
          </w:p>
          <w:p w:rsidR="000144AD" w:rsidRPr="002E0E9D" w:rsidRDefault="001C381E" w:rsidP="00F83366">
            <w:pPr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2018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Индекс промышленного производства, в том числе по</w:t>
            </w:r>
            <w:r w:rsidR="00254ED3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 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видам экономической деятельности: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92,1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95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254ED3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добыча полезных ископаемых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95,4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97,4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254ED3">
            <w:pPr>
              <w:ind w:leftChars="202" w:left="566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обрабатывающие производства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86,6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5769B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91,1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8D262D">
            <w:pPr>
              <w:ind w:leftChars="202" w:left="566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обеспечение электрической энергией, газом и паром</w:t>
            </w:r>
            <w:r w:rsidR="008D262D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;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кондиционирование воздуха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106,8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105,3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8D262D">
            <w:pPr>
              <w:ind w:left="567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водоснабжение</w:t>
            </w:r>
            <w:r w:rsidR="008D262D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;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водоотведение, организация сбора </w:t>
            </w:r>
            <w:r w:rsidR="005A4459"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             </w:t>
            </w: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и утилизации отходов, деятельность по ликвидации загрязнений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115,2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105,7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nil"/>
              <w:left w:val="single" w:sz="4" w:space="0" w:color="008080"/>
              <w:bottom w:val="nil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Темп роста вылова водных биоресурсов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eastAsia="Calibri" w:cs="Times New Roman"/>
                <w:color w:val="000000" w:themeColor="text1"/>
                <w:szCs w:val="28"/>
              </w:rPr>
            </w:pPr>
            <w:r>
              <w:rPr>
                <w:rFonts w:eastAsia="Calibri" w:cs="Times New Roman"/>
                <w:color w:val="000000" w:themeColor="text1"/>
                <w:szCs w:val="28"/>
              </w:rPr>
              <w:t>80,8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F5353F" w:rsidP="00F83366">
            <w:pPr>
              <w:jc w:val="center"/>
              <w:rPr>
                <w:rFonts w:eastAsia="Calibri" w:cs="Times New Roman"/>
                <w:color w:val="000000" w:themeColor="text1"/>
                <w:szCs w:val="28"/>
              </w:rPr>
            </w:pPr>
            <w:r>
              <w:rPr>
                <w:rFonts w:eastAsia="Calibri" w:cs="Times New Roman"/>
                <w:color w:val="000000" w:themeColor="text1"/>
                <w:szCs w:val="28"/>
              </w:rPr>
              <w:t>126,9</w:t>
            </w:r>
          </w:p>
        </w:tc>
      </w:tr>
      <w:tr w:rsidR="000144AD" w:rsidRPr="00C222A1" w:rsidTr="00F83366">
        <w:trPr>
          <w:trHeight w:val="283"/>
        </w:trPr>
        <w:tc>
          <w:tcPr>
            <w:tcW w:w="3480" w:type="pct"/>
            <w:tcBorders>
              <w:top w:val="single" w:sz="4" w:space="0" w:color="008080"/>
              <w:left w:val="single" w:sz="4" w:space="0" w:color="008080"/>
              <w:bottom w:val="nil"/>
              <w:right w:val="single" w:sz="4" w:space="0" w:color="008080"/>
            </w:tcBorders>
            <w:shd w:val="clear" w:color="auto" w:fill="auto"/>
            <w:vAlign w:val="center"/>
          </w:tcPr>
          <w:p w:rsidR="000144AD" w:rsidRPr="00544074" w:rsidRDefault="001C381E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Сводный индекс цен и тарифов на товары и платные услуги населению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4F60CD" w:rsidP="00343F7A">
            <w:pPr>
              <w:jc w:val="center"/>
              <w:rPr>
                <w:rFonts w:cs="Times New Roman"/>
                <w:szCs w:val="28"/>
              </w:rPr>
            </w:pPr>
            <w:r w:rsidRPr="00251ADA">
              <w:rPr>
                <w:rFonts w:cs="Times New Roman"/>
                <w:szCs w:val="28"/>
              </w:rPr>
              <w:t>100,</w:t>
            </w:r>
            <w:r w:rsidR="00F5353F">
              <w:rPr>
                <w:rFonts w:cs="Times New Roman"/>
                <w:szCs w:val="28"/>
              </w:rPr>
              <w:t>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144AD" w:rsidRPr="00251ADA" w:rsidRDefault="001C381E" w:rsidP="00F5353F">
            <w:pPr>
              <w:jc w:val="center"/>
              <w:rPr>
                <w:rFonts w:cs="Times New Roman"/>
                <w:szCs w:val="28"/>
              </w:rPr>
            </w:pPr>
            <w:r w:rsidRPr="00251ADA">
              <w:rPr>
                <w:rFonts w:cs="Times New Roman"/>
                <w:szCs w:val="28"/>
              </w:rPr>
              <w:t>104</w:t>
            </w:r>
          </w:p>
        </w:tc>
      </w:tr>
      <w:tr w:rsidR="00A80433" w:rsidRPr="00C222A1" w:rsidTr="00A80433">
        <w:trPr>
          <w:trHeight w:val="283"/>
        </w:trPr>
        <w:tc>
          <w:tcPr>
            <w:tcW w:w="3480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A80433" w:rsidRPr="00544074" w:rsidRDefault="001C381E" w:rsidP="00254ED3">
            <w:pP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Среднемесячная номинальная начисленная заработная плата работников по полному кругу организаций</w:t>
            </w:r>
          </w:p>
        </w:tc>
        <w:tc>
          <w:tcPr>
            <w:tcW w:w="760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A80433" w:rsidRPr="00251ADA" w:rsidRDefault="004F60CD" w:rsidP="002B7090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51ADA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  <w:r w:rsidR="00F5353F">
              <w:rPr>
                <w:rFonts w:eastAsia="Times New Roman" w:cs="Times New Roman"/>
                <w:color w:val="000000"/>
                <w:szCs w:val="28"/>
                <w:lang w:eastAsia="ru-RU"/>
              </w:rPr>
              <w:t>5,3</w:t>
            </w:r>
            <w:r w:rsidR="002B7090" w:rsidRPr="00251ADA"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>1</w:t>
            </w:r>
          </w:p>
        </w:tc>
        <w:tc>
          <w:tcPr>
            <w:tcW w:w="760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A80433" w:rsidRPr="00251ADA" w:rsidRDefault="001C381E" w:rsidP="002B7090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51ADA">
              <w:rPr>
                <w:rFonts w:eastAsia="Times New Roman" w:cs="Times New Roman"/>
                <w:color w:val="000000"/>
                <w:szCs w:val="28"/>
                <w:lang w:eastAsia="ru-RU"/>
              </w:rPr>
              <w:t>10</w:t>
            </w:r>
            <w:r w:rsidR="004F60CD" w:rsidRPr="00251ADA">
              <w:rPr>
                <w:rFonts w:eastAsia="Times New Roman" w:cs="Times New Roman"/>
                <w:color w:val="000000"/>
                <w:szCs w:val="28"/>
                <w:lang w:eastAsia="ru-RU"/>
              </w:rPr>
              <w:t>8,</w:t>
            </w:r>
            <w:r w:rsidR="00F5353F">
              <w:rPr>
                <w:rFonts w:eastAsia="Times New Roman" w:cs="Times New Roman"/>
                <w:color w:val="000000"/>
                <w:szCs w:val="28"/>
                <w:lang w:eastAsia="ru-RU"/>
              </w:rPr>
              <w:t>5</w:t>
            </w:r>
            <w:r w:rsidR="002B7090" w:rsidRPr="00251ADA"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>2</w:t>
            </w:r>
          </w:p>
        </w:tc>
      </w:tr>
      <w:tr w:rsidR="00A80433" w:rsidRPr="00C222A1" w:rsidTr="00A80433">
        <w:trPr>
          <w:trHeight w:val="283"/>
        </w:trPr>
        <w:tc>
          <w:tcPr>
            <w:tcW w:w="3480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A80433" w:rsidRPr="00544074" w:rsidRDefault="001C381E" w:rsidP="00EE7A59">
            <w:pPr>
              <w:jc w:val="righ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в </w:t>
            </w:r>
            <w:proofErr w:type="gramStart"/>
            <w:r w:rsidRPr="00544074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рублях</w:t>
            </w:r>
            <w:proofErr w:type="gramEnd"/>
          </w:p>
        </w:tc>
        <w:tc>
          <w:tcPr>
            <w:tcW w:w="1520" w:type="pct"/>
            <w:gridSpan w:val="2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A80433" w:rsidRPr="00251ADA" w:rsidRDefault="002E64B2" w:rsidP="002B7090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E64B2">
              <w:rPr>
                <w:rFonts w:eastAsia="Times New Roman" w:cs="Times New Roman"/>
                <w:color w:val="000000"/>
                <w:szCs w:val="28"/>
                <w:lang w:eastAsia="ru-RU"/>
              </w:rPr>
              <w:t>61</w:t>
            </w:r>
            <w:r w:rsidR="00377547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  <w:r w:rsidR="00377547">
              <w:rPr>
                <w:rFonts w:eastAsia="Times New Roman" w:cs="Times New Roman"/>
                <w:color w:val="000000"/>
                <w:szCs w:val="28"/>
                <w:lang w:val="en-US" w:eastAsia="ru-RU"/>
              </w:rPr>
              <w:t>823</w:t>
            </w:r>
            <w:r w:rsidR="00377547">
              <w:rPr>
                <w:rFonts w:eastAsia="Times New Roman" w:cs="Times New Roman"/>
                <w:color w:val="000000"/>
                <w:szCs w:val="28"/>
                <w:lang w:eastAsia="ru-RU"/>
              </w:rPr>
              <w:t>,2</w:t>
            </w:r>
            <w:r w:rsidR="002B7090" w:rsidRPr="002E64B2">
              <w:rPr>
                <w:rFonts w:eastAsia="Times New Roman" w:cs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</w:tr>
      <w:tr w:rsidR="00F03D74" w:rsidRPr="00C222A1" w:rsidTr="00F83366">
        <w:trPr>
          <w:trHeight w:val="283"/>
        </w:trPr>
        <w:tc>
          <w:tcPr>
            <w:tcW w:w="3480" w:type="pct"/>
            <w:shd w:val="clear" w:color="auto" w:fill="auto"/>
            <w:vAlign w:val="center"/>
          </w:tcPr>
          <w:p w:rsidR="002B7090" w:rsidRDefault="002B7090" w:rsidP="00F83366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>1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025A0E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Октябрь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2019 к </w:t>
            </w:r>
            <w:r w:rsidR="00025A0E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сентябрю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2019</w:t>
            </w:r>
          </w:p>
          <w:p w:rsidR="002B7090" w:rsidRDefault="002B7090" w:rsidP="00F83366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025A0E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Октябрь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2019 к </w:t>
            </w:r>
            <w:r w:rsidR="00025A0E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октябрю</w:t>
            </w:r>
            <w:r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2018</w:t>
            </w:r>
          </w:p>
          <w:p w:rsidR="00F03D74" w:rsidRPr="002E0E9D" w:rsidRDefault="002B7090" w:rsidP="002E64B2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  <w:r w:rsidRPr="002E64B2">
              <w:rPr>
                <w:rFonts w:eastAsia="Times New Roman" w:cs="Times New Roman"/>
                <w:i/>
                <w:color w:val="000000"/>
                <w:sz w:val="25"/>
                <w:szCs w:val="25"/>
                <w:vertAlign w:val="superscript"/>
                <w:lang w:eastAsia="ru-RU"/>
              </w:rPr>
              <w:t>3</w:t>
            </w:r>
            <w:r w:rsidR="001C381E" w:rsidRPr="002E64B2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</w:t>
            </w:r>
            <w:r w:rsidR="002E64B2" w:rsidRPr="002E64B2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>Октябрь</w:t>
            </w:r>
            <w:r w:rsidR="001C381E" w:rsidRPr="002E64B2"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  <w:t xml:space="preserve"> 2019</w:t>
            </w:r>
          </w:p>
        </w:tc>
        <w:tc>
          <w:tcPr>
            <w:tcW w:w="1520" w:type="pct"/>
            <w:gridSpan w:val="2"/>
            <w:shd w:val="clear" w:color="auto" w:fill="auto"/>
            <w:vAlign w:val="center"/>
          </w:tcPr>
          <w:p w:rsidR="00F03D74" w:rsidRPr="00251ADA" w:rsidRDefault="00F03D74" w:rsidP="00F83366">
            <w:pPr>
              <w:jc w:val="center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</w:tr>
      <w:tr w:rsidR="00F03D74" w:rsidRPr="00C222A1" w:rsidTr="00F83366">
        <w:trPr>
          <w:trHeight w:val="283"/>
        </w:trPr>
        <w:tc>
          <w:tcPr>
            <w:tcW w:w="3480" w:type="pct"/>
            <w:shd w:val="clear" w:color="auto" w:fill="auto"/>
            <w:vAlign w:val="center"/>
          </w:tcPr>
          <w:p w:rsidR="00F03D74" w:rsidRPr="002E0E9D" w:rsidRDefault="00F03D74" w:rsidP="00F83366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520" w:type="pct"/>
            <w:gridSpan w:val="2"/>
            <w:shd w:val="clear" w:color="auto" w:fill="auto"/>
            <w:vAlign w:val="center"/>
          </w:tcPr>
          <w:p w:rsidR="00F03D74" w:rsidRPr="002E0E9D" w:rsidRDefault="00F03D74" w:rsidP="00F83366">
            <w:pPr>
              <w:jc w:val="center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</w:tr>
      <w:tr w:rsidR="00F03D74" w:rsidRPr="00C222A1" w:rsidTr="00F83366">
        <w:trPr>
          <w:trHeight w:val="283"/>
        </w:trPr>
        <w:tc>
          <w:tcPr>
            <w:tcW w:w="3480" w:type="pct"/>
            <w:shd w:val="clear" w:color="auto" w:fill="auto"/>
            <w:vAlign w:val="center"/>
          </w:tcPr>
          <w:p w:rsidR="00F03D74" w:rsidRPr="002E0E9D" w:rsidRDefault="00F03D74" w:rsidP="00F83366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520" w:type="pct"/>
            <w:gridSpan w:val="2"/>
            <w:shd w:val="clear" w:color="auto" w:fill="auto"/>
            <w:vAlign w:val="center"/>
          </w:tcPr>
          <w:p w:rsidR="00F03D74" w:rsidRPr="002E0E9D" w:rsidRDefault="00F03D74" w:rsidP="00F83366">
            <w:pPr>
              <w:jc w:val="center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</w:tr>
      <w:tr w:rsidR="00872B77" w:rsidRPr="00C222A1" w:rsidTr="00F83366">
        <w:trPr>
          <w:trHeight w:val="283"/>
        </w:trPr>
        <w:tc>
          <w:tcPr>
            <w:tcW w:w="3480" w:type="pct"/>
            <w:shd w:val="clear" w:color="auto" w:fill="auto"/>
            <w:vAlign w:val="center"/>
          </w:tcPr>
          <w:p w:rsidR="00872B77" w:rsidRPr="002E0E9D" w:rsidRDefault="00872B77" w:rsidP="00F83366">
            <w:pPr>
              <w:jc w:val="left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  <w:tc>
          <w:tcPr>
            <w:tcW w:w="1520" w:type="pct"/>
            <w:gridSpan w:val="2"/>
            <w:shd w:val="clear" w:color="auto" w:fill="auto"/>
            <w:vAlign w:val="center"/>
          </w:tcPr>
          <w:p w:rsidR="00872B77" w:rsidRPr="002E0E9D" w:rsidRDefault="00872B77" w:rsidP="00F83366">
            <w:pPr>
              <w:jc w:val="center"/>
              <w:rPr>
                <w:rFonts w:eastAsia="Times New Roman" w:cs="Times New Roman"/>
                <w:i/>
                <w:color w:val="000000"/>
                <w:sz w:val="25"/>
                <w:szCs w:val="25"/>
                <w:lang w:eastAsia="ru-RU"/>
              </w:rPr>
            </w:pPr>
          </w:p>
        </w:tc>
      </w:tr>
    </w:tbl>
    <w:p w:rsidR="00D20490" w:rsidRDefault="003A2E98" w:rsidP="00442CA8">
      <w:pPr>
        <w:pStyle w:val="af0"/>
        <w:jc w:val="both"/>
      </w:pPr>
      <w:r>
        <w:br w:type="column"/>
      </w:r>
      <w:r w:rsidR="00154CF3" w:rsidRPr="00154CF3">
        <w:lastRenderedPageBreak/>
        <w:t>о</w:t>
      </w:r>
    </w:p>
    <w:tbl>
      <w:tblPr>
        <w:tblW w:w="5000" w:type="pct"/>
        <w:tblLook w:val="04A0"/>
      </w:tblPr>
      <w:tblGrid>
        <w:gridCol w:w="9570"/>
      </w:tblGrid>
      <w:tr w:rsidR="00F27A55" w:rsidRPr="00C222A1" w:rsidTr="004D4710">
        <w:trPr>
          <w:trHeight w:val="3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000000" w:fill="008080"/>
            <w:hideMark/>
          </w:tcPr>
          <w:p w:rsidR="00F27A55" w:rsidRPr="00154CF3" w:rsidRDefault="00F27A55" w:rsidP="00154CF3">
            <w:pPr>
              <w:pStyle w:val="af0"/>
            </w:pPr>
            <w:r w:rsidRPr="00C222A1">
              <w:br w:type="column"/>
            </w:r>
            <w:r w:rsidRPr="00154CF3">
              <w:t>Промышленное производство</w:t>
            </w:r>
          </w:p>
        </w:tc>
      </w:tr>
    </w:tbl>
    <w:p w:rsidR="003248B1" w:rsidRPr="002E64B2" w:rsidRDefault="003248B1" w:rsidP="003248B1">
      <w:pPr>
        <w:ind w:firstLine="709"/>
        <w:rPr>
          <w:noProof/>
          <w:lang w:eastAsia="ru-RU"/>
        </w:rPr>
      </w:pPr>
      <w:r w:rsidRPr="002E64B2">
        <w:rPr>
          <w:noProof/>
          <w:lang w:eastAsia="ru-RU"/>
        </w:rPr>
        <w:t>В январе-ноябре 2019 года индекс промышленного производства составил 105,1 % относительно соответствующего периода 2018 года (в среднем по России – 102,4 %).</w:t>
      </w:r>
    </w:p>
    <w:p w:rsidR="003248B1" w:rsidRPr="002E64B2" w:rsidRDefault="003248B1" w:rsidP="003248B1">
      <w:pPr>
        <w:ind w:firstLine="709"/>
        <w:rPr>
          <w:noProof/>
          <w:lang w:eastAsia="ru-RU"/>
        </w:rPr>
      </w:pPr>
      <w:r w:rsidRPr="002E64B2">
        <w:rPr>
          <w:noProof/>
          <w:lang w:eastAsia="ru-RU"/>
        </w:rPr>
        <w:t xml:space="preserve">В ноябре </w:t>
      </w:r>
      <w:r w:rsidR="00536B03" w:rsidRPr="002E64B2">
        <w:rPr>
          <w:noProof/>
          <w:lang w:eastAsia="ru-RU"/>
        </w:rPr>
        <w:t>т.г.</w:t>
      </w:r>
      <w:r w:rsidRPr="002E64B2">
        <w:rPr>
          <w:noProof/>
          <w:lang w:eastAsia="ru-RU"/>
        </w:rPr>
        <w:t xml:space="preserve"> по сравнению с ноябрем 2018 года уровень производства снизился на 5 % (в среднем по России – рост на 0,3 %), по отношению к предыдущему месяцу - на 7,9 % (в среднем по России – на 2,5 %).</w:t>
      </w:r>
    </w:p>
    <w:p w:rsidR="003248B1" w:rsidRPr="00647892" w:rsidRDefault="003248B1" w:rsidP="003248B1">
      <w:pPr>
        <w:ind w:firstLine="709"/>
      </w:pPr>
      <w:r w:rsidRPr="002E64B2">
        <w:rPr>
          <w:noProof/>
          <w:lang w:eastAsia="ru-RU"/>
        </w:rPr>
        <w:t>Цены производителей промышленных товаров по сравнению с январем-ноябрем 2018 года выросли на 12,2 %, в том числе на товары, предназначенные для реализации на внутреннем рынке, – на 13,4 %, на экспорт – на 10,6 %.</w:t>
      </w:r>
    </w:p>
    <w:p w:rsidR="00AE6EBF" w:rsidRPr="00544074" w:rsidRDefault="00C36685" w:rsidP="00AE6EBF">
      <w:r w:rsidRPr="00544074">
        <w:rPr>
          <w:noProof/>
          <w:lang w:eastAsia="ru-RU"/>
        </w:rPr>
        <w:drawing>
          <wp:inline distT="0" distB="0" distL="0" distR="0">
            <wp:extent cx="5932391" cy="1375576"/>
            <wp:effectExtent l="19050" t="0" r="11209" b="0"/>
            <wp:docPr id="3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36685" w:rsidRPr="00544074" w:rsidRDefault="00C36685" w:rsidP="00AE6EBF"/>
    <w:p w:rsidR="00B26A2F" w:rsidRPr="002E64B2" w:rsidRDefault="00F27A55" w:rsidP="00EF5D3E">
      <w:pPr>
        <w:pStyle w:val="af1"/>
        <w:ind w:firstLine="0"/>
        <w:jc w:val="center"/>
        <w:rPr>
          <w:i/>
        </w:rPr>
      </w:pPr>
      <w:r w:rsidRPr="002E64B2">
        <w:rPr>
          <w:i/>
        </w:rPr>
        <w:t>Добыча полезных ископаемых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За одиннадцать месяцев 2019 года в добывающей промышленности отгружено товаров собственного производства на сумму 123,8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млрд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(146,7 % к аналогичному периоду 2018 года в действующих ценах).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Индекс производства составил 101,4 % к январю-ноябрю 2018 года (в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среднем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по России – 103,2 %).</w:t>
      </w:r>
    </w:p>
    <w:p w:rsidR="003248B1" w:rsidRPr="00C222A1" w:rsidRDefault="003248B1" w:rsidP="003248B1">
      <w:pPr>
        <w:ind w:firstLine="709"/>
        <w:rPr>
          <w:rFonts w:eastAsia="Times New Roman" w:cs="Times New Roman"/>
          <w:i/>
          <w:iCs/>
          <w:color w:val="0033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Увеличилось производство апатитового</w:t>
      </w:r>
      <w:r w:rsidR="00A25822" w:rsidRPr="002E64B2">
        <w:rPr>
          <w:rFonts w:eastAsia="Times New Roman" w:cs="Times New Roman"/>
          <w:color w:val="000000"/>
          <w:szCs w:val="28"/>
          <w:lang w:eastAsia="ru-RU"/>
        </w:rPr>
        <w:t xml:space="preserve"> (103,4 </w:t>
      </w: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%), нефелинового (121,6 %) и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лопаритового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(103 %) концентратов. В то же время снизились объемы выпуска железорудного концентрата (98 %).</w:t>
      </w:r>
    </w:p>
    <w:p w:rsidR="00A9682F" w:rsidRPr="00C222A1" w:rsidRDefault="00A9682F" w:rsidP="00A9682F">
      <w:pPr>
        <w:ind w:firstLine="709"/>
        <w:rPr>
          <w:rFonts w:eastAsia="Times New Roman" w:cs="Times New Roman"/>
          <w:i/>
          <w:iCs/>
          <w:color w:val="003300"/>
          <w:szCs w:val="28"/>
          <w:lang w:eastAsia="ru-RU"/>
        </w:rPr>
      </w:pPr>
    </w:p>
    <w:p w:rsidR="00143AB9" w:rsidRPr="00544074" w:rsidRDefault="00143AB9" w:rsidP="00143AB9">
      <w:pPr>
        <w:rPr>
          <w:rFonts w:eastAsia="Times New Roman" w:cs="Times New Roman"/>
          <w:color w:val="000000"/>
          <w:szCs w:val="28"/>
          <w:lang w:eastAsia="ru-RU"/>
        </w:rPr>
      </w:pPr>
      <w:r w:rsidRPr="00544074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32391" cy="1240403"/>
            <wp:effectExtent l="19050" t="0" r="11209" b="0"/>
            <wp:docPr id="3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70E36" w:rsidRPr="00544074" w:rsidRDefault="00570E36" w:rsidP="00442CA8">
      <w:pPr>
        <w:rPr>
          <w:rFonts w:eastAsia="Times New Roman" w:cs="Times New Roman"/>
          <w:i/>
          <w:iCs/>
          <w:color w:val="003300"/>
          <w:szCs w:val="28"/>
          <w:lang w:eastAsia="ru-RU"/>
        </w:rPr>
      </w:pPr>
    </w:p>
    <w:p w:rsidR="00F27A55" w:rsidRPr="002E64B2" w:rsidRDefault="00F27A55" w:rsidP="00EF5D3E">
      <w:pPr>
        <w:pStyle w:val="af1"/>
        <w:ind w:firstLine="0"/>
        <w:jc w:val="center"/>
        <w:rPr>
          <w:i/>
        </w:rPr>
      </w:pPr>
      <w:r w:rsidRPr="002E64B2">
        <w:rPr>
          <w:i/>
        </w:rPr>
        <w:t>Обрабатывающие производства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В отчетном периоде 2019 года в обрабатывающих производствах отгружено товаров собственного производства, выполнено работ и услуг собственными силами на сумму 272,6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млрд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(167,9 % к аналогичному периоду 2018 года в действующих ценах). Индекс производства составил 109,3 % к январю-ноябрю 2018 года (в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среднем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по России – 102,1 %).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lastRenderedPageBreak/>
        <w:t>Наибольшую долю в структуре отгрузки обрабатывающей промышленности занимают металлургическое производство (57,4 %), производство пищевых продуктов (29,8 %), ремонт и монтаж машин и оборудования (6,2 %), производство прочих транспортных средств и оборудования (3 %).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Уровень металлургического производства в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январе-ноябре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2019 года вырос на 5,4 % к соответствующему периоду 2018 года. Выше прошлогоднего уровня произведено никеля необработанного (на 3,1 %), никелевого штейна (в 1,3 раза), никелевых порошков (в 1,3 раза), рафинированной меди (на 2,2 %), кобальта необработанного (на 5 %) и алюминиевых сплавов (на 18 %). При этом снизился выпуск первичного алюминия (на 1,9 %).</w:t>
      </w:r>
    </w:p>
    <w:p w:rsidR="003248B1" w:rsidRPr="002E64B2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Индекс производства пищевых продуктов в отчетном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периоде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составил 118,8 %. В натуральном выражении увеличились объемы производства ракообразных (в 1,7 раза), консервов рыбных (в 1,3 раза), филе рыбного мороженого (на 2,3 %), свинины, кроме субпродуктов (на 5,4 %).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В то же время сократился выпуск рыбы мороженой (на 2,4 %), мяса рыбы (включая фарш) мороженого (на 9 %), говядины, кроме субпродуктов (на 42,4 %), субпродуктов убойных животных (на 5,3 %), колбасных изделий (на 0,7 %), хлебобулочных изделий (на 2,8 %), молока, кроме сырого (на 6 %), кисломолочных продуктов (кроме творога) (на 10 %), сыров и творога (на 6,2 %).</w:t>
      </w:r>
      <w:proofErr w:type="gramEnd"/>
    </w:p>
    <w:p w:rsidR="003248B1" w:rsidRPr="00FD7C9D" w:rsidRDefault="003248B1" w:rsidP="003248B1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Рост производства к январю-ноябрю 2018 года в сегментах «Ремонт и монтаж машин и оборудования» и «Производство прочих транспортных средств и оборудования» на 35,4 % и 7,2 % соответственно обусловлен неравномерным закрытием актов выполненных ремонтных работ с длительным циклом на предприятиях судоремонта.</w:t>
      </w:r>
      <w:proofErr w:type="gramEnd"/>
    </w:p>
    <w:p w:rsidR="000A00BA" w:rsidRPr="00FD7C9D" w:rsidRDefault="000A00BA" w:rsidP="000A00BA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1E6B0B" w:rsidRPr="00544074" w:rsidRDefault="00993B2C" w:rsidP="00696BA7">
      <w:pPr>
        <w:pStyle w:val="af1"/>
        <w:ind w:firstLine="0"/>
        <w:jc w:val="center"/>
      </w:pPr>
      <w:r w:rsidRPr="00544074">
        <w:drawing>
          <wp:inline distT="0" distB="0" distL="0" distR="0">
            <wp:extent cx="5933026" cy="1391479"/>
            <wp:effectExtent l="19050" t="0" r="10574" b="0"/>
            <wp:docPr id="3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6B0B" w:rsidRPr="00544074" w:rsidRDefault="001E6B0B" w:rsidP="0096031B">
      <w:pPr>
        <w:pStyle w:val="af1"/>
      </w:pPr>
    </w:p>
    <w:p w:rsidR="001C381E" w:rsidRPr="00544074" w:rsidRDefault="001C381E" w:rsidP="008D262D">
      <w:pPr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544074">
        <w:rPr>
          <w:rFonts w:eastAsia="Times New Roman" w:cs="Times New Roman"/>
          <w:i/>
          <w:color w:val="000000"/>
          <w:szCs w:val="28"/>
          <w:lang w:eastAsia="ru-RU"/>
        </w:rPr>
        <w:t>Обеспечение электрической энергией, газом и паром</w:t>
      </w:r>
      <w:r w:rsidR="008D262D" w:rsidRPr="00544074">
        <w:rPr>
          <w:rFonts w:eastAsia="Times New Roman" w:cs="Times New Roman"/>
          <w:i/>
          <w:color w:val="000000"/>
          <w:szCs w:val="28"/>
          <w:lang w:eastAsia="ru-RU"/>
        </w:rPr>
        <w:t>;</w:t>
      </w:r>
      <w:r w:rsidRPr="00544074">
        <w:rPr>
          <w:rFonts w:eastAsia="Times New Roman" w:cs="Times New Roman"/>
          <w:i/>
          <w:color w:val="000000"/>
          <w:szCs w:val="28"/>
          <w:lang w:eastAsia="ru-RU"/>
        </w:rPr>
        <w:t xml:space="preserve"> кондиционирование</w:t>
      </w:r>
      <w:r w:rsidR="008D262D" w:rsidRPr="00544074">
        <w:rPr>
          <w:rFonts w:eastAsia="Times New Roman" w:cs="Times New Roman"/>
          <w:i/>
          <w:color w:val="000000"/>
          <w:szCs w:val="28"/>
          <w:lang w:eastAsia="ru-RU"/>
        </w:rPr>
        <w:t> </w:t>
      </w:r>
      <w:r w:rsidRPr="00544074">
        <w:rPr>
          <w:rFonts w:eastAsia="Times New Roman" w:cs="Times New Roman"/>
          <w:i/>
          <w:color w:val="000000"/>
          <w:szCs w:val="28"/>
          <w:lang w:eastAsia="ru-RU"/>
        </w:rPr>
        <w:t>воздуха</w:t>
      </w:r>
    </w:p>
    <w:p w:rsidR="00A70429" w:rsidRPr="002E64B2" w:rsidRDefault="00A70429" w:rsidP="00A70429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В сфере обеспечения электрической энергией, газом и паром; кондиционирования воздуха объем отгрузки продукции в отчетном периоде составил 53,7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млрд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(103,8 % к январю-ноябрю 2018 года в действующих ценах). Индекс производства – 97,7 % (в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среднем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по России – 100,9 %).</w:t>
      </w:r>
    </w:p>
    <w:p w:rsidR="00A70429" w:rsidRPr="002E64B2" w:rsidRDefault="00A70429" w:rsidP="00A70429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lastRenderedPageBreak/>
        <w:t>В январе-ноябре 2019 года выработка электроэнергии снизилась на 4,3</w:t>
      </w:r>
      <w:r w:rsidRPr="002E64B2">
        <w:t> </w:t>
      </w:r>
      <w:r w:rsidRPr="002E64B2">
        <w:rPr>
          <w:rFonts w:eastAsia="Times New Roman" w:cs="Times New Roman"/>
          <w:color w:val="000000"/>
          <w:szCs w:val="28"/>
          <w:lang w:eastAsia="ru-RU"/>
        </w:rPr>
        <w:t>%, производство пара и горячей воды выросло на 5 %.</w:t>
      </w:r>
    </w:p>
    <w:p w:rsidR="00A70429" w:rsidRPr="00647892" w:rsidRDefault="00A70429" w:rsidP="00A70429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Потребление электроэнергии составило 11,5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млрд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кВт ч, что на 1,8 % выше соответствующего уровня 2018 года. В то же время отпуск электроэнергии за пределы региона сократился на 19,7 %.</w:t>
      </w:r>
    </w:p>
    <w:p w:rsidR="00C06233" w:rsidRPr="00544074" w:rsidRDefault="00C06233" w:rsidP="00C06233">
      <w:pPr>
        <w:rPr>
          <w:rFonts w:eastAsia="Times New Roman" w:cs="Times New Roman"/>
          <w:color w:val="000000"/>
          <w:szCs w:val="28"/>
          <w:lang w:eastAsia="ru-RU"/>
        </w:rPr>
      </w:pPr>
      <w:r w:rsidRPr="00544074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32391" cy="1224501"/>
            <wp:effectExtent l="19050" t="0" r="11209" b="0"/>
            <wp:docPr id="2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06233" w:rsidRPr="00544074" w:rsidRDefault="00C06233" w:rsidP="00C06233">
      <w:pPr>
        <w:rPr>
          <w:rFonts w:eastAsia="Times New Roman" w:cs="Times New Roman"/>
          <w:color w:val="000000"/>
          <w:szCs w:val="28"/>
          <w:lang w:eastAsia="ru-RU"/>
        </w:rPr>
      </w:pPr>
    </w:p>
    <w:p w:rsidR="001C381E" w:rsidRPr="00544074" w:rsidRDefault="001C381E" w:rsidP="00D3209C">
      <w:pPr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544074">
        <w:rPr>
          <w:rFonts w:eastAsia="Times New Roman" w:cs="Times New Roman"/>
          <w:i/>
          <w:color w:val="000000"/>
          <w:szCs w:val="28"/>
          <w:lang w:eastAsia="ru-RU"/>
        </w:rPr>
        <w:t>Водоснабжение; водоотведение, организация сбора и утилизации отходов, деятельность по ликвидации загрязнений</w:t>
      </w:r>
    </w:p>
    <w:p w:rsidR="00A70429" w:rsidRDefault="00A70429" w:rsidP="00A70429">
      <w:pPr>
        <w:ind w:firstLine="709"/>
        <w:rPr>
          <w:rFonts w:eastAsia="Times New Roman" w:cs="Times New Roman"/>
          <w:color w:val="000000"/>
          <w:szCs w:val="28"/>
          <w:lang w:val="en-US"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В сфере водоснабжения; водоотведения, организации сбора и утилизации отходов, деятельности по ликвидации загрязнений объем отгрузки продукции в отчетном периоде составил 8,7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млрд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(96,3 % к январю-ноябрю 2018 года в действующих ценах). </w:t>
      </w:r>
      <w:proofErr w:type="spell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Индекс</w:t>
      </w:r>
      <w:proofErr w:type="spellEnd"/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proofErr w:type="spell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производства</w:t>
      </w:r>
      <w:proofErr w:type="spellEnd"/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 – 96</w:t>
      </w:r>
      <w:proofErr w:type="gram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,6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> </w:t>
      </w:r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% (в </w:t>
      </w:r>
      <w:proofErr w:type="spell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среднем</w:t>
      </w:r>
      <w:proofErr w:type="spellEnd"/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proofErr w:type="spell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по</w:t>
      </w:r>
      <w:proofErr w:type="spellEnd"/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proofErr w:type="spellStart"/>
      <w:r w:rsidRPr="002E64B2">
        <w:rPr>
          <w:rFonts w:eastAsia="Times New Roman" w:cs="Times New Roman"/>
          <w:color w:val="000000"/>
          <w:szCs w:val="28"/>
          <w:lang w:val="en-US" w:eastAsia="ru-RU"/>
        </w:rPr>
        <w:t>России</w:t>
      </w:r>
      <w:proofErr w:type="spellEnd"/>
      <w:r w:rsidRPr="002E64B2">
        <w:rPr>
          <w:rFonts w:eastAsia="Times New Roman" w:cs="Times New Roman"/>
          <w:color w:val="000000"/>
          <w:szCs w:val="28"/>
          <w:lang w:val="en-US" w:eastAsia="ru-RU"/>
        </w:rPr>
        <w:t xml:space="preserve"> – 99,8 %).</w:t>
      </w:r>
    </w:p>
    <w:p w:rsidR="00B15655" w:rsidRPr="00544074" w:rsidRDefault="00B15655" w:rsidP="00B15655">
      <w:pPr>
        <w:pStyle w:val="af"/>
      </w:pPr>
      <w:r w:rsidRPr="00544074">
        <w:t>Сельскохозяйственное производство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F27A55" w:rsidRPr="00544074" w:rsidTr="00A02832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F27A55" w:rsidRPr="00544074" w:rsidRDefault="00F27A55" w:rsidP="00B15655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Сельскохозяйственное производство</w:t>
            </w:r>
          </w:p>
        </w:tc>
      </w:tr>
    </w:tbl>
    <w:p w:rsidR="00122F6C" w:rsidRPr="002E64B2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Объем продукции сельского хозяйства в январе-ноябре 2019 года составил 1727,9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рублей, индекс сельскохозяйственного производства –  94,6 %.</w:t>
      </w:r>
    </w:p>
    <w:p w:rsidR="00122F6C" w:rsidRPr="002E64B2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Низкие результаты по сравнению с январем-ноябрем 2018 года обусловлены сокращением производства скота и птицы на убой (в живом весе) на 4,6 %, что связано со снижением поголовья крупного рогатого скота на 5,7 %, птицы на 20,4 %, свиней на 12,5 %, молока на 7,1 % из-за снижения продуктивности молочного стада на 19,5 %, выпуск куриных яиц  уменьшился в 2,5 раза по причине забоя поголовья кур-несушек.</w:t>
      </w:r>
      <w:proofErr w:type="gramEnd"/>
    </w:p>
    <w:p w:rsidR="00122F6C" w:rsidRPr="002E64B2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Государственная поддержка агропромышленного комплекса Мурманской области за январь-ноябрь 2019 года из федерального и областного бюджетов составила 269,7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со снижением к аналогичному периоду прошлого года на 6 %. При этом из федерального бюджета направлено 46,4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(в 1,2 раза больше, чем в аналогичном периоде 2018 года), из областного – 223,3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рублей (89,7 % от уровня одиннадцати месяцев 2018 года ).</w:t>
      </w:r>
    </w:p>
    <w:p w:rsidR="00F27A55" w:rsidRPr="002E64B2" w:rsidRDefault="00F27A55" w:rsidP="00FF5F09">
      <w:pPr>
        <w:rPr>
          <w:rFonts w:eastAsia="Times New Roman" w:cs="Times New Roman"/>
          <w:color w:val="000000"/>
          <w:sz w:val="4"/>
          <w:szCs w:val="4"/>
          <w:lang w:eastAsia="ru-RU"/>
        </w:rPr>
      </w:pPr>
    </w:p>
    <w:p w:rsidR="007F2BA4" w:rsidRPr="00544074" w:rsidRDefault="00043505" w:rsidP="007F2BA4">
      <w:pPr>
        <w:jc w:val="right"/>
        <w:rPr>
          <w:rFonts w:cs="Times New Roman"/>
          <w:bCs/>
          <w:sz w:val="23"/>
          <w:szCs w:val="23"/>
        </w:rPr>
      </w:pPr>
      <w:r w:rsidRPr="002E64B2">
        <w:rPr>
          <w:rFonts w:cs="Times New Roman"/>
          <w:bCs/>
          <w:sz w:val="23"/>
          <w:szCs w:val="23"/>
        </w:rPr>
        <w:t>тысяч</w:t>
      </w:r>
      <w:r w:rsidR="00F27A55" w:rsidRPr="002E64B2">
        <w:rPr>
          <w:rFonts w:cs="Times New Roman"/>
          <w:bCs/>
          <w:sz w:val="23"/>
          <w:szCs w:val="23"/>
        </w:rPr>
        <w:t xml:space="preserve"> рублей</w:t>
      </w:r>
    </w:p>
    <w:tbl>
      <w:tblPr>
        <w:tblStyle w:val="ab"/>
        <w:tblpPr w:leftFromText="180" w:rightFromText="180" w:vertAnchor="text" w:horzAnchor="margin" w:tblpX="108" w:tblpY="9"/>
        <w:tblW w:w="4889" w:type="pct"/>
        <w:tblLayout w:type="fixed"/>
        <w:tblLook w:val="04A0"/>
      </w:tblPr>
      <w:tblGrid>
        <w:gridCol w:w="3509"/>
        <w:gridCol w:w="1419"/>
        <w:gridCol w:w="1557"/>
        <w:gridCol w:w="1363"/>
        <w:gridCol w:w="1510"/>
      </w:tblGrid>
      <w:tr w:rsidR="00C164E8" w:rsidRPr="00C222A1" w:rsidTr="00C40CC0">
        <w:tc>
          <w:tcPr>
            <w:tcW w:w="187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4E8" w:rsidRPr="00D64EDC" w:rsidRDefault="00C164E8" w:rsidP="00C40CC0">
            <w:pPr>
              <w:jc w:val="center"/>
              <w:rPr>
                <w:rFonts w:eastAsia="Times New Roman" w:cs="Times New Roman"/>
                <w:b/>
                <w:bCs/>
                <w:sz w:val="24"/>
                <w:szCs w:val="20"/>
              </w:rPr>
            </w:pPr>
            <w:r>
              <w:rPr>
                <w:rFonts w:cs="Times New Roman"/>
                <w:b/>
                <w:bCs/>
                <w:sz w:val="24"/>
                <w:szCs w:val="20"/>
              </w:rPr>
              <w:t>Направления субсидирования</w:t>
            </w:r>
          </w:p>
        </w:tc>
        <w:tc>
          <w:tcPr>
            <w:tcW w:w="159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Pr="001E69F7" w:rsidRDefault="00C164E8" w:rsidP="00C40CC0">
            <w:pPr>
              <w:jc w:val="center"/>
              <w:rPr>
                <w:rFonts w:eastAsia="Times New Roman" w:cs="Times New Roman"/>
                <w:b/>
                <w:bCs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0"/>
              </w:rPr>
              <w:t>2019 год</w:t>
            </w:r>
          </w:p>
        </w:tc>
        <w:tc>
          <w:tcPr>
            <w:tcW w:w="153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Pr="001E69F7" w:rsidRDefault="00C164E8" w:rsidP="00C40CC0">
            <w:pPr>
              <w:jc w:val="center"/>
              <w:rPr>
                <w:rFonts w:eastAsia="Times New Roman" w:cs="Times New Roman"/>
                <w:b/>
                <w:bCs/>
                <w:sz w:val="24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0"/>
              </w:rPr>
              <w:t>2018 год</w:t>
            </w:r>
          </w:p>
        </w:tc>
      </w:tr>
      <w:tr w:rsidR="00C164E8" w:rsidRPr="00C222A1" w:rsidTr="00C40CC0">
        <w:tc>
          <w:tcPr>
            <w:tcW w:w="1875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64E8" w:rsidRPr="00C222A1" w:rsidRDefault="00C164E8" w:rsidP="00C40CC0">
            <w:pPr>
              <w:rPr>
                <w:rFonts w:eastAsia="Times New Roman" w:cs="Times New Roman"/>
                <w:b/>
                <w:bCs/>
                <w:sz w:val="24"/>
              </w:rPr>
            </w:pP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4E8" w:rsidRPr="00B15655" w:rsidRDefault="00C164E8" w:rsidP="00C40CC0">
            <w:pPr>
              <w:jc w:val="center"/>
              <w:rPr>
                <w:rFonts w:eastAsia="Times New Roman" w:cs="Times New Roman"/>
                <w:bCs/>
                <w:sz w:val="22"/>
              </w:rPr>
            </w:pPr>
            <w:r>
              <w:rPr>
                <w:rFonts w:cs="Times New Roman"/>
                <w:bCs/>
                <w:sz w:val="22"/>
              </w:rPr>
              <w:t>Областной бюджет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4E8" w:rsidRPr="00B15655" w:rsidRDefault="00C164E8" w:rsidP="00C40CC0">
            <w:pPr>
              <w:jc w:val="center"/>
              <w:rPr>
                <w:rFonts w:eastAsia="Times New Roman" w:cs="Times New Roman"/>
                <w:bCs/>
                <w:sz w:val="22"/>
              </w:rPr>
            </w:pPr>
            <w:r>
              <w:rPr>
                <w:rFonts w:cs="Times New Roman"/>
                <w:bCs/>
                <w:sz w:val="22"/>
              </w:rPr>
              <w:t>Федеральный бюджет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4E8" w:rsidRPr="00B15655" w:rsidRDefault="00C164E8" w:rsidP="00C40CC0">
            <w:pPr>
              <w:jc w:val="center"/>
              <w:rPr>
                <w:rFonts w:eastAsia="Times New Roman" w:cs="Times New Roman"/>
                <w:bCs/>
                <w:sz w:val="22"/>
              </w:rPr>
            </w:pPr>
            <w:r>
              <w:rPr>
                <w:rFonts w:cs="Times New Roman"/>
                <w:bCs/>
                <w:sz w:val="22"/>
              </w:rPr>
              <w:t>Областной бюджет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4E8" w:rsidRPr="00B15655" w:rsidRDefault="00C164E8" w:rsidP="00C40CC0">
            <w:pPr>
              <w:jc w:val="center"/>
              <w:rPr>
                <w:rFonts w:eastAsia="Times New Roman" w:cs="Times New Roman"/>
                <w:bCs/>
                <w:sz w:val="22"/>
              </w:rPr>
            </w:pPr>
            <w:r>
              <w:rPr>
                <w:rFonts w:cs="Times New Roman"/>
                <w:bCs/>
                <w:sz w:val="22"/>
              </w:rPr>
              <w:t>Федеральный бюджет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Pr="00C222A1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поддержку северного оленеводства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Pr="00C222A1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3451,7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Pr="00C222A1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8450,7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Pr="00C222A1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3451,7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Pr="00C222A1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8450,7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</w:t>
            </w:r>
            <w:proofErr w:type="spellStart"/>
            <w:r>
              <w:rPr>
                <w:rFonts w:cs="Times New Roman"/>
                <w:bCs/>
                <w:sz w:val="24"/>
              </w:rPr>
              <w:t>племживотноводству</w:t>
            </w:r>
            <w:proofErr w:type="spellEnd"/>
            <w:r>
              <w:rPr>
                <w:rFonts w:cs="Times New Roman"/>
                <w:bCs/>
                <w:sz w:val="24"/>
              </w:rPr>
              <w:t xml:space="preserve">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6015,9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14728,58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3770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9230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оказание </w:t>
            </w:r>
            <w:r>
              <w:rPr>
                <w:rFonts w:cs="Times New Roman"/>
                <w:bCs/>
                <w:sz w:val="24"/>
              </w:rPr>
              <w:lastRenderedPageBreak/>
              <w:t xml:space="preserve">несвязанной поддержки сельскохозяйственным товаропроизводителям в области растениеводства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lastRenderedPageBreak/>
              <w:t>370,8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907,8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5555,76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1439,5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lastRenderedPageBreak/>
              <w:t>Субсидия на возмещение части затрат на приобретение семян с учетом доставки в районы Крайнего Севера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2204,42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5397,02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3359,88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8225,92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Субсидия на продукцию животноводства за исключением КФХ и граждан, вед</w:t>
            </w:r>
            <w:proofErr w:type="gramStart"/>
            <w:r>
              <w:rPr>
                <w:rFonts w:cs="Times New Roman"/>
                <w:bCs/>
                <w:sz w:val="24"/>
              </w:rPr>
              <w:t>.</w:t>
            </w:r>
            <w:proofErr w:type="gramEnd"/>
            <w:r>
              <w:rPr>
                <w:rFonts w:cs="Times New Roman"/>
                <w:bCs/>
                <w:sz w:val="24"/>
              </w:rPr>
              <w:t xml:space="preserve"> </w:t>
            </w:r>
            <w:proofErr w:type="gramStart"/>
            <w:r>
              <w:rPr>
                <w:rFonts w:cs="Times New Roman"/>
                <w:bCs/>
                <w:sz w:val="24"/>
              </w:rPr>
              <w:t>л</w:t>
            </w:r>
            <w:proofErr w:type="gramEnd"/>
            <w:r>
              <w:rPr>
                <w:rFonts w:cs="Times New Roman"/>
                <w:bCs/>
                <w:sz w:val="24"/>
              </w:rPr>
              <w:t xml:space="preserve">ичное подсобное хозяйство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125634,42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144144,5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продукцию животноводства КФХ и ИП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10735,14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10252,51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повышение продуктивности крупного рогатого скота молочного направления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1980,52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4848,85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2368,07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5797,7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Субсидии ГОУП на возмещение затрат на приобретение кормов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54672,02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58283,55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возмещение части затрат на приобретение сельхозтехники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10261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10368,99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возмещение части затрат на приобретение молодняка крупного рогатого скота для откорма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717,45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1372,29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Обеспечение жильем граждан, проживающих в сельской местности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1225,4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2131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835,29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1634,2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Гранты на создание и развитие КФХ и (или) единовременная помощь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1740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4260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1305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3195</w:t>
            </w: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Гранты на  развитие семейных животноводческих ферм на базе КФХ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2500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Субсидия на поддержку племенного скотоводства молочного направления организациям АПК, включенным в государственный племенной регистр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86,4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500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Субсидия на возмещение части затрат производителям пищевой и перерабатывающей промышленности на обновление и реконструкцию основных фондов            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897,66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2000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lastRenderedPageBreak/>
              <w:t>Субсидия на поддержку звероводства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462,15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-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1500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>Создание системы поддержки фермеров и развитие сельской кооперации (Грант «</w:t>
            </w:r>
            <w:proofErr w:type="spellStart"/>
            <w:r>
              <w:rPr>
                <w:rFonts w:cs="Times New Roman"/>
                <w:bCs/>
                <w:sz w:val="24"/>
              </w:rPr>
              <w:t>Агростартап</w:t>
            </w:r>
            <w:proofErr w:type="spellEnd"/>
            <w:r>
              <w:rPr>
                <w:rFonts w:cs="Times New Roman"/>
                <w:bCs/>
                <w:sz w:val="24"/>
              </w:rPr>
              <w:t>»)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360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5640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</w:p>
        </w:tc>
      </w:tr>
      <w:tr w:rsidR="00C164E8" w:rsidRPr="00C222A1" w:rsidTr="00C40CC0">
        <w:tc>
          <w:tcPr>
            <w:tcW w:w="187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4E8" w:rsidRDefault="00C164E8" w:rsidP="00C40CC0">
            <w:pPr>
              <w:jc w:val="left"/>
              <w:rPr>
                <w:rFonts w:cs="Times New Roman"/>
                <w:bCs/>
                <w:sz w:val="24"/>
              </w:rPr>
            </w:pPr>
            <w:r>
              <w:rPr>
                <w:rFonts w:cs="Times New Roman"/>
                <w:bCs/>
                <w:sz w:val="24"/>
              </w:rPr>
              <w:t xml:space="preserve">ИТОГО: </w:t>
            </w:r>
          </w:p>
        </w:tc>
        <w:tc>
          <w:tcPr>
            <w:tcW w:w="75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223314,98</w:t>
            </w:r>
          </w:p>
        </w:tc>
        <w:tc>
          <w:tcPr>
            <w:tcW w:w="8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46363,95</w:t>
            </w:r>
          </w:p>
        </w:tc>
        <w:tc>
          <w:tcPr>
            <w:tcW w:w="7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249067,54</w:t>
            </w:r>
          </w:p>
        </w:tc>
        <w:tc>
          <w:tcPr>
            <w:tcW w:w="8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4E8" w:rsidRDefault="00C164E8" w:rsidP="00C40CC0">
            <w:pPr>
              <w:jc w:val="center"/>
              <w:rPr>
                <w:rFonts w:cs="Times New Roman"/>
                <w:color w:val="000000"/>
                <w:sz w:val="24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8"/>
              </w:rPr>
              <w:t>37973,02</w:t>
            </w:r>
          </w:p>
        </w:tc>
      </w:tr>
    </w:tbl>
    <w:p w:rsidR="00092E7A" w:rsidRPr="00544074" w:rsidRDefault="00092E7A" w:rsidP="00A10AEF">
      <w:pPr>
        <w:rPr>
          <w:rFonts w:cs="Times New Roman"/>
          <w:bCs/>
          <w:sz w:val="23"/>
          <w:szCs w:val="23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F27A55" w:rsidRPr="00544074" w:rsidTr="00A02832">
        <w:trPr>
          <w:trHeight w:val="424"/>
          <w:tblCellSpacing w:w="0" w:type="dxa"/>
        </w:trPr>
        <w:tc>
          <w:tcPr>
            <w:tcW w:w="9354" w:type="dxa"/>
            <w:shd w:val="clear" w:color="auto" w:fill="008080"/>
            <w:vAlign w:val="center"/>
            <w:hideMark/>
          </w:tcPr>
          <w:p w:rsidR="00F27A55" w:rsidRPr="00544074" w:rsidRDefault="00F27A55" w:rsidP="00FF5F09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Транспорт</w:t>
            </w:r>
          </w:p>
        </w:tc>
      </w:tr>
    </w:tbl>
    <w:p w:rsidR="00C164E8" w:rsidRPr="002E64B2" w:rsidRDefault="00C164E8" w:rsidP="00C164E8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За январь-ноябрь 2019 года морскими портами и терминалами области переработано 59,1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тонн грузов, что на 2,3 % выше уровня аналогичного периода прошлого года. Увеличение обусловлено ростом объемов переработки как наливных грузов до 34,4 </w:t>
      </w:r>
      <w:proofErr w:type="spellStart"/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тонн (на 0,9 %), так и сухогрузов до 24,7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млн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тонн (на 4,4 %).</w:t>
      </w:r>
    </w:p>
    <w:p w:rsidR="00C164E8" w:rsidRPr="002E64B2" w:rsidRDefault="00C164E8" w:rsidP="00C164E8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Объем перевозок грузов железнодорожным транспортом по итогам одиннадцати месяцев сложился выше прошлогоднего уровня на 2,1 % за счет увеличения объемов погрузки металлических руд на 4,1 % и минеральных удобрений на 1,9 %.</w:t>
      </w:r>
    </w:p>
    <w:p w:rsidR="00C164E8" w:rsidRPr="002E64B2" w:rsidRDefault="00C164E8" w:rsidP="00C164E8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Автомобильным транспортом организаций, занимающихся грузовыми автоперевозками, перевезено грузов на 18,4 % меньше, чем в январе-ноябре 2018 года; грузооборот составил 101,3 % к соответствующему периоду предыдущего года.</w:t>
      </w:r>
    </w:p>
    <w:p w:rsidR="00C164E8" w:rsidRPr="00647892" w:rsidRDefault="00C164E8" w:rsidP="00C164E8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Объем перевозимых грузов морским транспортом продолжает оставаться значительно ниже аналогичного периода предыдущего года, что обусловлено падением спроса на услуги основного перевозчика.</w:t>
      </w:r>
    </w:p>
    <w:p w:rsidR="001C381E" w:rsidRPr="00544074" w:rsidRDefault="0041783F" w:rsidP="0041783F">
      <w:pPr>
        <w:rPr>
          <w:rFonts w:eastAsia="Times New Roman" w:cs="Times New Roman"/>
          <w:color w:val="000000"/>
          <w:szCs w:val="28"/>
          <w:lang w:eastAsia="ru-RU"/>
        </w:rPr>
      </w:pPr>
      <w:r w:rsidRPr="00AA4180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34904" cy="1486894"/>
            <wp:effectExtent l="19050" t="0" r="27746" b="0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1F11" w:rsidRPr="00544074" w:rsidRDefault="005A1F11" w:rsidP="005A1F11">
      <w:pPr>
        <w:pStyle w:val="af"/>
      </w:pPr>
      <w:r w:rsidRPr="00544074">
        <w:rPr>
          <w:bCs/>
          <w:szCs w:val="28"/>
        </w:rPr>
        <w:t>Рыболовство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F27A55" w:rsidRPr="00544074" w:rsidTr="00A02832">
        <w:trPr>
          <w:trHeight w:val="424"/>
          <w:tblCellSpacing w:w="0" w:type="dxa"/>
        </w:trPr>
        <w:tc>
          <w:tcPr>
            <w:tcW w:w="9354" w:type="dxa"/>
            <w:shd w:val="clear" w:color="auto" w:fill="008080"/>
            <w:vAlign w:val="center"/>
            <w:hideMark/>
          </w:tcPr>
          <w:p w:rsidR="00F27A55" w:rsidRPr="00544074" w:rsidRDefault="00F27A55" w:rsidP="00FF5F09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Рыболовство</w:t>
            </w:r>
          </w:p>
        </w:tc>
      </w:tr>
    </w:tbl>
    <w:p w:rsidR="00122F6C" w:rsidRPr="002E64B2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По оперативным данным Мурманского филиала ФГБУ «Центр системы мониторинга рыболовства и связи» рыболовными организациями Мурманской области в январе – ноябре 2019 года выловлено 625,8 тыс. тонн водных биоресурсов (98,4 % от уровня периода прошлого года).</w:t>
      </w:r>
    </w:p>
    <w:p w:rsidR="00122F6C" w:rsidRPr="002E64B2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В отчетном периоде снизилась добыча трески (доля в вылове 32,5 %) на 7,8 % и пикши (доля – 7,6 %) – на 15,6 % (в связи с сокращением квот на вылов данных водных биоресурсов), а также прочих видов рыб (доля -57 %) – на 3,6 % в основном за счет снижения </w:t>
      </w:r>
      <w:r w:rsidR="00B77375">
        <w:rPr>
          <w:rFonts w:eastAsia="Times New Roman" w:cs="Times New Roman"/>
          <w:color w:val="000000"/>
          <w:szCs w:val="28"/>
          <w:lang w:eastAsia="ru-RU"/>
        </w:rPr>
        <w:t xml:space="preserve">вылова </w:t>
      </w:r>
      <w:r w:rsidRPr="002E64B2">
        <w:rPr>
          <w:rFonts w:eastAsia="Times New Roman" w:cs="Times New Roman"/>
          <w:color w:val="000000"/>
          <w:szCs w:val="28"/>
          <w:lang w:eastAsia="ru-RU"/>
        </w:rPr>
        <w:t>ставриды в зоне Мавритании и Марокко.</w:t>
      </w:r>
    </w:p>
    <w:p w:rsidR="00122F6C" w:rsidRPr="005F6E64" w:rsidRDefault="00122F6C" w:rsidP="00122F6C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При этом рост улова на 7,8 % отмечен по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путассу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(доля – 12,1 %) и по сельди в 1,3 раза (доля – 4,8 %).</w:t>
      </w:r>
    </w:p>
    <w:p w:rsidR="00A10AEF" w:rsidRPr="00544074" w:rsidRDefault="00843802" w:rsidP="004701FC">
      <w:pPr>
        <w:rPr>
          <w:noProof/>
        </w:rPr>
      </w:pPr>
      <w:r w:rsidRPr="00544074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3026" cy="2115047"/>
            <wp:effectExtent l="19050" t="0" r="10574" b="0"/>
            <wp:docPr id="2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pPr w:leftFromText="180" w:rightFromText="180" w:vertAnchor="text" w:horzAnchor="margin" w:tblpY="67"/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A26EB2" w:rsidRPr="00544074" w:rsidTr="00A26EB2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A26EB2" w:rsidRPr="00544074" w:rsidRDefault="00A26EB2" w:rsidP="00A26EB2">
            <w:pPr>
              <w:spacing w:before="40" w:after="40"/>
              <w:ind w:left="40" w:right="40" w:firstLine="102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Инвестиции и строительство</w:t>
            </w:r>
          </w:p>
        </w:tc>
      </w:tr>
    </w:tbl>
    <w:p w:rsidR="00695390" w:rsidRPr="002E64B2" w:rsidRDefault="00695390" w:rsidP="00A26EB2">
      <w:pPr>
        <w:ind w:firstLine="709"/>
        <w:rPr>
          <w:rFonts w:eastAsia="Times New Roman" w:cs="Times New Roman"/>
          <w:szCs w:val="28"/>
          <w:lang w:eastAsia="ru-RU"/>
        </w:rPr>
      </w:pPr>
      <w:r w:rsidRPr="002E64B2">
        <w:rPr>
          <w:rFonts w:eastAsia="Times New Roman" w:cs="Times New Roman"/>
          <w:szCs w:val="28"/>
          <w:lang w:eastAsia="ru-RU"/>
        </w:rPr>
        <w:t>По предварительным данным объем инвестиций в основной капитал за счет всех источников финансирования за январь-</w:t>
      </w:r>
      <w:r w:rsidR="00A26EB2" w:rsidRPr="002E64B2">
        <w:rPr>
          <w:rFonts w:eastAsia="Times New Roman" w:cs="Times New Roman"/>
          <w:szCs w:val="28"/>
          <w:lang w:eastAsia="ru-RU"/>
        </w:rPr>
        <w:t>сентябрь</w:t>
      </w:r>
      <w:r w:rsidRPr="002E64B2">
        <w:rPr>
          <w:rFonts w:eastAsia="Times New Roman" w:cs="Times New Roman"/>
          <w:szCs w:val="28"/>
          <w:lang w:eastAsia="ru-RU"/>
        </w:rPr>
        <w:t xml:space="preserve"> 2019 года</w:t>
      </w:r>
      <w:r w:rsidR="00535580" w:rsidRPr="002E64B2">
        <w:rPr>
          <w:rFonts w:eastAsia="Times New Roman" w:cs="Times New Roman"/>
          <w:szCs w:val="28"/>
          <w:lang w:eastAsia="ru-RU"/>
        </w:rPr>
        <w:t xml:space="preserve"> сложился на уровне аналогичного периода прошлого года и</w:t>
      </w:r>
      <w:r w:rsidRPr="002E64B2">
        <w:rPr>
          <w:rFonts w:eastAsia="Times New Roman" w:cs="Times New Roman"/>
          <w:szCs w:val="28"/>
          <w:lang w:eastAsia="ru-RU"/>
        </w:rPr>
        <w:t xml:space="preserve"> составил </w:t>
      </w:r>
      <w:r w:rsidR="00E70B07" w:rsidRPr="002E64B2">
        <w:rPr>
          <w:rFonts w:eastAsia="Times New Roman" w:cs="Times New Roman"/>
          <w:color w:val="000000" w:themeColor="text1"/>
          <w:szCs w:val="28"/>
          <w:lang w:eastAsia="ru-RU"/>
        </w:rPr>
        <w:t>88,5 млрд рублей (100,2</w:t>
      </w:r>
      <w:r w:rsidRPr="002E64B2">
        <w:rPr>
          <w:rFonts w:eastAsia="Times New Roman" w:cs="Times New Roman"/>
          <w:color w:val="000000" w:themeColor="text1"/>
          <w:szCs w:val="28"/>
          <w:lang w:eastAsia="ru-RU"/>
        </w:rPr>
        <w:t xml:space="preserve"> % к аналогичному периоду 2018 года в сопоставимых ценах), из них за счет бюдже</w:t>
      </w:r>
      <w:r w:rsidR="00E70B07" w:rsidRPr="002E64B2">
        <w:rPr>
          <w:rFonts w:eastAsia="Times New Roman" w:cs="Times New Roman"/>
          <w:color w:val="000000" w:themeColor="text1"/>
          <w:szCs w:val="28"/>
          <w:lang w:eastAsia="ru-RU"/>
        </w:rPr>
        <w:t>тных средств – 21,9</w:t>
      </w:r>
      <w:r w:rsidRPr="002E64B2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2E64B2">
        <w:rPr>
          <w:rFonts w:eastAsia="Times New Roman" w:cs="Times New Roman"/>
          <w:szCs w:val="28"/>
          <w:lang w:eastAsia="ru-RU"/>
        </w:rPr>
        <w:t>млрд рублей.</w:t>
      </w:r>
    </w:p>
    <w:p w:rsidR="00695390" w:rsidRPr="002E64B2" w:rsidRDefault="00535580" w:rsidP="00695390">
      <w:pPr>
        <w:ind w:firstLine="709"/>
        <w:rPr>
          <w:rFonts w:eastAsia="Times New Roman" w:cs="Times New Roman"/>
          <w:color w:val="000000" w:themeColor="text1"/>
          <w:szCs w:val="28"/>
          <w:lang w:eastAsia="ru-RU"/>
        </w:rPr>
      </w:pPr>
      <w:r w:rsidRPr="002E64B2">
        <w:rPr>
          <w:rFonts w:eastAsia="Times New Roman" w:cs="Times New Roman"/>
          <w:color w:val="000000" w:themeColor="text1"/>
          <w:szCs w:val="28"/>
          <w:lang w:eastAsia="ru-RU"/>
        </w:rPr>
        <w:t>Увеличение</w:t>
      </w:r>
      <w:r w:rsidR="00695390" w:rsidRPr="002E64B2">
        <w:rPr>
          <w:rFonts w:eastAsia="Times New Roman" w:cs="Times New Roman"/>
          <w:color w:val="000000" w:themeColor="text1"/>
          <w:szCs w:val="28"/>
          <w:lang w:eastAsia="ru-RU"/>
        </w:rPr>
        <w:t xml:space="preserve"> инвестиционной активности </w:t>
      </w:r>
      <w:r w:rsidRPr="002E64B2">
        <w:rPr>
          <w:rFonts w:eastAsia="Times New Roman" w:cs="Times New Roman"/>
          <w:color w:val="000000" w:themeColor="text1"/>
          <w:szCs w:val="28"/>
          <w:lang w:eastAsia="ru-RU"/>
        </w:rPr>
        <w:t xml:space="preserve">наблюдалось по таким видам экономической деятельности как «Обрабатывающие производства» и «Транспортировка и хранение». </w:t>
      </w:r>
    </w:p>
    <w:p w:rsidR="004701FC" w:rsidRPr="00544074" w:rsidRDefault="00695390" w:rsidP="004701FC">
      <w:pPr>
        <w:ind w:firstLine="709"/>
        <w:rPr>
          <w:rFonts w:eastAsia="Times New Roman" w:cs="Times New Roman"/>
          <w:szCs w:val="28"/>
          <w:lang w:eastAsia="ru-RU"/>
        </w:rPr>
      </w:pPr>
      <w:r w:rsidRPr="002E64B2">
        <w:rPr>
          <w:rFonts w:eastAsia="Times New Roman" w:cs="Times New Roman"/>
          <w:szCs w:val="28"/>
          <w:lang w:eastAsia="ru-RU"/>
        </w:rPr>
        <w:t xml:space="preserve">Доля собственных средств организаций в основной капитал в </w:t>
      </w:r>
      <w:r w:rsidR="00E70B07" w:rsidRPr="002E64B2">
        <w:rPr>
          <w:rFonts w:eastAsia="Times New Roman" w:cs="Times New Roman"/>
          <w:szCs w:val="28"/>
          <w:lang w:eastAsia="ru-RU"/>
        </w:rPr>
        <w:t xml:space="preserve">январе-сентябре </w:t>
      </w:r>
      <w:r w:rsidRPr="002E64B2">
        <w:rPr>
          <w:rFonts w:eastAsia="Times New Roman" w:cs="Times New Roman"/>
          <w:szCs w:val="28"/>
          <w:lang w:eastAsia="ru-RU"/>
        </w:rPr>
        <w:t>2019 года составила 49 %, доля привлеченных средств – 51 %, из них на средства бюджетов всех уровней пришлось 48 % общего объема инвестиций в основной капитал. Основную долю средств в объеме бюджетных инвестиций, как и в аналогичном периоде 2018 года, занимают средства федерального бюджета (</w:t>
      </w:r>
      <w:r w:rsidR="00FE4B04" w:rsidRPr="002E64B2">
        <w:rPr>
          <w:rFonts w:eastAsia="Times New Roman" w:cs="Times New Roman"/>
          <w:szCs w:val="28"/>
          <w:lang w:eastAsia="ru-RU"/>
        </w:rPr>
        <w:t>92,4</w:t>
      </w:r>
      <w:r w:rsidRPr="002E64B2">
        <w:rPr>
          <w:rFonts w:eastAsia="Times New Roman" w:cs="Times New Roman"/>
          <w:szCs w:val="28"/>
          <w:lang w:eastAsia="ru-RU"/>
        </w:rPr>
        <w:t xml:space="preserve"> %).</w:t>
      </w:r>
      <w:r w:rsidRPr="00544074">
        <w:rPr>
          <w:rFonts w:eastAsia="Times New Roman" w:cs="Times New Roman"/>
          <w:szCs w:val="28"/>
          <w:lang w:eastAsia="ru-RU"/>
        </w:rPr>
        <w:t xml:space="preserve"> </w:t>
      </w:r>
    </w:p>
    <w:p w:rsidR="00F27A55" w:rsidRPr="00544074" w:rsidRDefault="00F27A55" w:rsidP="0096031B">
      <w:pPr>
        <w:pStyle w:val="af1"/>
        <w:ind w:firstLine="0"/>
        <w:jc w:val="center"/>
        <w:rPr>
          <w:i/>
        </w:rPr>
      </w:pPr>
      <w:r w:rsidRPr="00544074">
        <w:rPr>
          <w:i/>
        </w:rPr>
        <w:t>Строительство</w:t>
      </w:r>
    </w:p>
    <w:p w:rsidR="00570E36" w:rsidRPr="00544074" w:rsidRDefault="001C381E" w:rsidP="004701FC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2E64B2">
        <w:rPr>
          <w:rFonts w:eastAsia="Times New Roman" w:cs="Times New Roman"/>
          <w:iCs/>
          <w:szCs w:val="28"/>
          <w:lang w:eastAsia="ru-RU"/>
        </w:rPr>
        <w:t>Объем работ, выполненных собственными силами по виду деятельнос</w:t>
      </w:r>
      <w:r w:rsidR="00CA6786" w:rsidRPr="002E64B2">
        <w:rPr>
          <w:rFonts w:eastAsia="Times New Roman" w:cs="Times New Roman"/>
          <w:iCs/>
          <w:szCs w:val="28"/>
          <w:lang w:eastAsia="ru-RU"/>
        </w:rPr>
        <w:t>ти «Строительство», за январь-</w:t>
      </w:r>
      <w:r w:rsidR="00B65659" w:rsidRPr="002E64B2">
        <w:rPr>
          <w:rFonts w:eastAsia="Times New Roman" w:cs="Times New Roman"/>
          <w:iCs/>
          <w:szCs w:val="28"/>
          <w:lang w:eastAsia="ru-RU"/>
        </w:rPr>
        <w:t>ноябрь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 2019 года сложился в</w:t>
      </w:r>
      <w:r w:rsidR="00047856" w:rsidRPr="002E64B2">
        <w:rPr>
          <w:rFonts w:eastAsia="Times New Roman" w:cs="Times New Roman"/>
          <w:iCs/>
          <w:szCs w:val="28"/>
          <w:lang w:eastAsia="ru-RU"/>
        </w:rPr>
        <w:t xml:space="preserve"> сумме </w:t>
      </w:r>
      <w:r w:rsidR="002E64B2" w:rsidRPr="002E64B2">
        <w:rPr>
          <w:rFonts w:eastAsia="Times New Roman" w:cs="Times New Roman"/>
          <w:iCs/>
          <w:szCs w:val="28"/>
          <w:lang w:eastAsia="ru-RU"/>
        </w:rPr>
        <w:t>54,4</w:t>
      </w:r>
      <w:r w:rsidR="00047856" w:rsidRPr="002E64B2">
        <w:rPr>
          <w:rFonts w:eastAsia="Times New Roman" w:cs="Times New Roman"/>
          <w:iCs/>
          <w:szCs w:val="28"/>
          <w:lang w:eastAsia="ru-RU"/>
        </w:rPr>
        <w:t xml:space="preserve"> </w:t>
      </w:r>
      <w:proofErr w:type="spellStart"/>
      <w:proofErr w:type="gramStart"/>
      <w:r w:rsidR="00047856" w:rsidRPr="002E64B2">
        <w:rPr>
          <w:rFonts w:eastAsia="Times New Roman" w:cs="Times New Roman"/>
          <w:iCs/>
          <w:szCs w:val="28"/>
          <w:lang w:eastAsia="ru-RU"/>
        </w:rPr>
        <w:t>млрд</w:t>
      </w:r>
      <w:proofErr w:type="spellEnd"/>
      <w:proofErr w:type="gramEnd"/>
      <w:r w:rsidR="00B65659" w:rsidRPr="002E64B2">
        <w:rPr>
          <w:rFonts w:eastAsia="Times New Roman" w:cs="Times New Roman"/>
          <w:iCs/>
          <w:szCs w:val="28"/>
          <w:lang w:eastAsia="ru-RU"/>
        </w:rPr>
        <w:t xml:space="preserve"> рублей, или 151,4</w:t>
      </w:r>
      <w:r w:rsidR="00CA6786" w:rsidRPr="002E64B2">
        <w:rPr>
          <w:rFonts w:eastAsia="Times New Roman" w:cs="Times New Roman"/>
          <w:iCs/>
          <w:szCs w:val="28"/>
          <w:lang w:eastAsia="ru-RU"/>
        </w:rPr>
        <w:t xml:space="preserve"> % к январю-</w:t>
      </w:r>
      <w:r w:rsidR="00B65659" w:rsidRPr="002E64B2">
        <w:rPr>
          <w:rFonts w:eastAsia="Times New Roman" w:cs="Times New Roman"/>
          <w:iCs/>
          <w:szCs w:val="28"/>
          <w:lang w:eastAsia="ru-RU"/>
        </w:rPr>
        <w:t>ноябрю</w:t>
      </w:r>
      <w:r w:rsidR="00067689" w:rsidRPr="002E64B2">
        <w:rPr>
          <w:rFonts w:eastAsia="Times New Roman" w:cs="Times New Roman"/>
          <w:iCs/>
          <w:szCs w:val="28"/>
          <w:lang w:eastAsia="ru-RU"/>
        </w:rPr>
        <w:t xml:space="preserve"> 2018 года в сопоставимых ценах. </w:t>
      </w:r>
      <w:r w:rsidRPr="002E64B2">
        <w:rPr>
          <w:rFonts w:eastAsia="Times New Roman" w:cs="Times New Roman"/>
          <w:iCs/>
          <w:szCs w:val="28"/>
          <w:lang w:eastAsia="ru-RU"/>
        </w:rPr>
        <w:t>Увеличение связано с изменением объема работ на объектах транспортной инфраструктуры, металлургического производства и Центра по строительству крупнотоннажных морских сооружений.</w:t>
      </w:r>
    </w:p>
    <w:p w:rsidR="00F217F8" w:rsidRPr="00544074" w:rsidRDefault="00F217F8" w:rsidP="0096031B">
      <w:pPr>
        <w:pStyle w:val="af1"/>
        <w:ind w:firstLine="0"/>
        <w:jc w:val="center"/>
        <w:rPr>
          <w:i/>
        </w:rPr>
      </w:pPr>
      <w:r w:rsidRPr="00544074">
        <w:rPr>
          <w:i/>
        </w:rPr>
        <w:t>Жилищное строительство</w:t>
      </w:r>
    </w:p>
    <w:p w:rsidR="000F4CD5" w:rsidRPr="00544074" w:rsidRDefault="001C381E" w:rsidP="00537E63">
      <w:pPr>
        <w:ind w:firstLine="709"/>
        <w:rPr>
          <w:rFonts w:eastAsia="Times New Roman" w:cs="Times New Roman"/>
          <w:iCs/>
          <w:szCs w:val="28"/>
          <w:lang w:eastAsia="ru-RU"/>
        </w:rPr>
      </w:pPr>
      <w:r w:rsidRPr="002E64B2">
        <w:rPr>
          <w:rFonts w:eastAsia="Times New Roman" w:cs="Times New Roman"/>
          <w:iCs/>
          <w:szCs w:val="28"/>
          <w:lang w:eastAsia="ru-RU"/>
        </w:rPr>
        <w:t>За январь-</w:t>
      </w:r>
      <w:r w:rsidR="00B65659" w:rsidRPr="002E64B2">
        <w:rPr>
          <w:rFonts w:eastAsia="Times New Roman" w:cs="Times New Roman"/>
          <w:iCs/>
          <w:szCs w:val="28"/>
          <w:lang w:eastAsia="ru-RU"/>
        </w:rPr>
        <w:t>ноябрь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 2019 года за счет всех источ</w:t>
      </w:r>
      <w:r w:rsidR="00CA6786" w:rsidRPr="002E64B2">
        <w:rPr>
          <w:rFonts w:eastAsia="Times New Roman" w:cs="Times New Roman"/>
          <w:iCs/>
          <w:szCs w:val="28"/>
          <w:lang w:eastAsia="ru-RU"/>
        </w:rPr>
        <w:t>нико</w:t>
      </w:r>
      <w:r w:rsidR="009741C3" w:rsidRPr="002E64B2">
        <w:rPr>
          <w:rFonts w:eastAsia="Times New Roman" w:cs="Times New Roman"/>
          <w:iCs/>
          <w:szCs w:val="28"/>
          <w:lang w:eastAsia="ru-RU"/>
        </w:rPr>
        <w:t xml:space="preserve">в финансирования введено </w:t>
      </w:r>
      <w:r w:rsidR="00B65659" w:rsidRPr="002E64B2">
        <w:rPr>
          <w:rFonts w:eastAsia="Times New Roman" w:cs="Times New Roman"/>
          <w:iCs/>
          <w:szCs w:val="28"/>
          <w:lang w:eastAsia="ru-RU"/>
        </w:rPr>
        <w:t>36,4</w:t>
      </w:r>
      <w:r w:rsidR="004B5497" w:rsidRPr="002E64B2">
        <w:rPr>
          <w:rFonts w:eastAsia="Times New Roman" w:cs="Times New Roman"/>
          <w:iCs/>
          <w:szCs w:val="28"/>
          <w:lang w:eastAsia="ru-RU"/>
        </w:rPr>
        <w:t xml:space="preserve"> тыс.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 кв. метров общей площади жилья, что составило </w:t>
      </w:r>
      <w:r w:rsidR="00B65659" w:rsidRPr="002E64B2">
        <w:rPr>
          <w:rFonts w:eastAsia="Times New Roman" w:cs="Times New Roman"/>
          <w:iCs/>
          <w:szCs w:val="28"/>
          <w:lang w:eastAsia="ru-RU"/>
        </w:rPr>
        <w:t>133,4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% </w:t>
      </w:r>
      <w:r w:rsidR="006B34D4" w:rsidRPr="002E64B2">
        <w:rPr>
          <w:rFonts w:eastAsia="Times New Roman" w:cs="Times New Roman"/>
          <w:iCs/>
          <w:szCs w:val="28"/>
          <w:lang w:eastAsia="ru-RU"/>
        </w:rPr>
        <w:t xml:space="preserve">                   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от уровня аналогичного периода 2018 года (в среднем по </w:t>
      </w:r>
      <w:r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России – </w:t>
      </w:r>
      <w:r w:rsidR="002E64B2"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>113,6</w:t>
      </w:r>
      <w:r w:rsidR="00570E36"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</w:t>
      </w:r>
      <w:r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>%).</w:t>
      </w:r>
      <w:r w:rsidRPr="002E64B2">
        <w:rPr>
          <w:rFonts w:eastAsia="Times New Roman" w:cs="Times New Roman"/>
          <w:iCs/>
          <w:szCs w:val="28"/>
          <w:lang w:eastAsia="ru-RU"/>
        </w:rPr>
        <w:t xml:space="preserve"> </w:t>
      </w:r>
      <w:r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Всего в Мурманской области введено </w:t>
      </w:r>
      <w:r w:rsidR="0048170F"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>2</w:t>
      </w:r>
      <w:r w:rsidR="00B65659"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>90</w:t>
      </w:r>
      <w:r w:rsidR="0048170F" w:rsidRPr="002E64B2">
        <w:rPr>
          <w:rFonts w:eastAsia="Times New Roman" w:cs="Times New Roman"/>
          <w:iCs/>
          <w:color w:val="000000" w:themeColor="text1"/>
          <w:szCs w:val="28"/>
          <w:lang w:eastAsia="ru-RU"/>
        </w:rPr>
        <w:t xml:space="preserve"> жилых дом</w:t>
      </w:r>
      <w:r w:rsidR="002E64B2">
        <w:rPr>
          <w:rFonts w:eastAsia="Times New Roman" w:cs="Times New Roman"/>
          <w:iCs/>
          <w:color w:val="000000" w:themeColor="text1"/>
          <w:szCs w:val="28"/>
          <w:lang w:eastAsia="ru-RU"/>
        </w:rPr>
        <w:t>ов.</w:t>
      </w:r>
    </w:p>
    <w:p w:rsidR="00A10AEF" w:rsidRPr="00544074" w:rsidRDefault="00A10AEF" w:rsidP="00537E63">
      <w:pPr>
        <w:ind w:firstLine="709"/>
        <w:rPr>
          <w:rFonts w:eastAsia="Times New Roman" w:cs="Times New Roman"/>
          <w:iCs/>
          <w:szCs w:val="28"/>
          <w:lang w:eastAsia="ru-RU"/>
        </w:rPr>
      </w:pPr>
    </w:p>
    <w:tbl>
      <w:tblPr>
        <w:tblW w:w="507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8"/>
      </w:tblGrid>
      <w:tr w:rsidR="00F27A55" w:rsidRPr="00544074" w:rsidTr="003B6B49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F27A55" w:rsidRPr="00544074" w:rsidRDefault="00F27A55" w:rsidP="00543967">
            <w:pPr>
              <w:pStyle w:val="af0"/>
            </w:pPr>
            <w:r w:rsidRPr="00544074">
              <w:t>Демография</w:t>
            </w:r>
          </w:p>
        </w:tc>
      </w:tr>
    </w:tbl>
    <w:p w:rsidR="00536B03" w:rsidRPr="002E64B2" w:rsidRDefault="00536B03" w:rsidP="00536B03">
      <w:pPr>
        <w:ind w:firstLine="709"/>
        <w:rPr>
          <w:rFonts w:cs="Times New Roman"/>
          <w:color w:val="000000"/>
          <w:szCs w:val="28"/>
        </w:rPr>
      </w:pPr>
      <w:r w:rsidRPr="002E64B2">
        <w:rPr>
          <w:rFonts w:cs="Times New Roman"/>
          <w:color w:val="000000"/>
          <w:szCs w:val="28"/>
        </w:rPr>
        <w:t>В январе-октябре 2019 года сохранялась тенденция снижения рождаемости в связи с продолжающимися структурными изменениями в составе населения.</w:t>
      </w:r>
    </w:p>
    <w:p w:rsidR="00536B03" w:rsidRPr="002E64B2" w:rsidRDefault="00536B03" w:rsidP="00536B03">
      <w:pPr>
        <w:ind w:firstLine="709"/>
        <w:rPr>
          <w:rFonts w:cs="Times New Roman"/>
          <w:color w:val="000000"/>
          <w:szCs w:val="28"/>
        </w:rPr>
      </w:pPr>
      <w:r w:rsidRPr="002E64B2">
        <w:rPr>
          <w:rFonts w:cs="Times New Roman"/>
          <w:color w:val="000000"/>
          <w:szCs w:val="28"/>
        </w:rPr>
        <w:lastRenderedPageBreak/>
        <w:t xml:space="preserve">По предварительным данным за десять месяцев текущего года в </w:t>
      </w:r>
      <w:proofErr w:type="gramStart"/>
      <w:r w:rsidRPr="002E64B2">
        <w:rPr>
          <w:rFonts w:cs="Times New Roman"/>
          <w:color w:val="000000"/>
          <w:szCs w:val="28"/>
        </w:rPr>
        <w:t>регионе</w:t>
      </w:r>
      <w:proofErr w:type="gramEnd"/>
      <w:r w:rsidRPr="002E64B2">
        <w:rPr>
          <w:rFonts w:cs="Times New Roman"/>
          <w:color w:val="000000"/>
          <w:szCs w:val="28"/>
        </w:rPr>
        <w:t xml:space="preserve"> родилось 5 634 ребенка, что на 9,3 % меньше, чем в соответствующем периоде 2018 года (6 209 человек). Коэффициент рождаемости составил 9,1 </w:t>
      </w:r>
      <w:proofErr w:type="gramStart"/>
      <w:r w:rsidRPr="002E64B2">
        <w:rPr>
          <w:rFonts w:cs="Times New Roman"/>
          <w:color w:val="000000"/>
          <w:szCs w:val="28"/>
        </w:rPr>
        <w:t>родившихся</w:t>
      </w:r>
      <w:proofErr w:type="gramEnd"/>
      <w:r w:rsidRPr="002E64B2">
        <w:rPr>
          <w:rFonts w:cs="Times New Roman"/>
          <w:color w:val="000000"/>
          <w:szCs w:val="28"/>
        </w:rPr>
        <w:t xml:space="preserve"> на 1 000 населения против 9,9 в 2018 году.</w:t>
      </w:r>
    </w:p>
    <w:p w:rsidR="00536B03" w:rsidRPr="002E64B2" w:rsidRDefault="00536B03" w:rsidP="00536B03">
      <w:pPr>
        <w:ind w:firstLine="709"/>
        <w:rPr>
          <w:rFonts w:cs="Times New Roman"/>
          <w:color w:val="000000"/>
          <w:szCs w:val="28"/>
        </w:rPr>
      </w:pPr>
      <w:r w:rsidRPr="002E64B2">
        <w:rPr>
          <w:rFonts w:cs="Times New Roman"/>
          <w:color w:val="000000"/>
          <w:szCs w:val="28"/>
        </w:rPr>
        <w:t xml:space="preserve">Системные меры в сфере здравоохранения на фоне старения населения региона направлены на сдерживание негативной динамики показателей смертности. Число умерших за десять месяцев т.г. снизилось по сравнению с  соответствующим периодом предыдущего года на 0,3 % (7 117 человек против 7 137 человек в соответствующем периоде 2018 года). Общий коэффициент смертности составил 11,4 </w:t>
      </w:r>
      <w:proofErr w:type="gramStart"/>
      <w:r w:rsidRPr="002E64B2">
        <w:rPr>
          <w:rFonts w:cs="Times New Roman"/>
          <w:color w:val="000000"/>
          <w:szCs w:val="28"/>
        </w:rPr>
        <w:t>умерших</w:t>
      </w:r>
      <w:proofErr w:type="gramEnd"/>
      <w:r w:rsidRPr="002E64B2">
        <w:rPr>
          <w:rFonts w:cs="Times New Roman"/>
          <w:color w:val="000000"/>
          <w:szCs w:val="28"/>
        </w:rPr>
        <w:t xml:space="preserve"> на 1 000 населения, что соответствует уровню аналогичного периода 2018 года.</w:t>
      </w:r>
    </w:p>
    <w:p w:rsidR="00536B03" w:rsidRPr="002E64B2" w:rsidRDefault="00536B03" w:rsidP="00536B03">
      <w:pPr>
        <w:ind w:firstLine="709"/>
        <w:rPr>
          <w:rFonts w:cs="Times New Roman"/>
          <w:color w:val="000000"/>
          <w:szCs w:val="28"/>
        </w:rPr>
      </w:pPr>
      <w:r w:rsidRPr="002E64B2">
        <w:rPr>
          <w:rFonts w:cs="Times New Roman"/>
          <w:color w:val="000000"/>
          <w:szCs w:val="28"/>
        </w:rPr>
        <w:t xml:space="preserve">Естественная убыль населения составила 1 483 человека (в соответствующем </w:t>
      </w:r>
      <w:proofErr w:type="gramStart"/>
      <w:r w:rsidRPr="002E64B2">
        <w:rPr>
          <w:rFonts w:cs="Times New Roman"/>
          <w:color w:val="000000"/>
          <w:szCs w:val="28"/>
        </w:rPr>
        <w:t>периоде</w:t>
      </w:r>
      <w:proofErr w:type="gramEnd"/>
      <w:r w:rsidRPr="002E64B2">
        <w:rPr>
          <w:rFonts w:cs="Times New Roman"/>
          <w:color w:val="000000"/>
          <w:szCs w:val="28"/>
        </w:rPr>
        <w:t xml:space="preserve"> 2018 года – 928 человек).</w:t>
      </w:r>
    </w:p>
    <w:p w:rsidR="00536B03" w:rsidRPr="005A1F11" w:rsidRDefault="00536B03" w:rsidP="00536B03">
      <w:pPr>
        <w:ind w:firstLine="709"/>
        <w:rPr>
          <w:rFonts w:cs="Times New Roman"/>
          <w:color w:val="000000"/>
          <w:szCs w:val="28"/>
        </w:rPr>
      </w:pPr>
      <w:r w:rsidRPr="002E64B2">
        <w:rPr>
          <w:rFonts w:cs="Times New Roman"/>
          <w:color w:val="000000"/>
          <w:szCs w:val="28"/>
        </w:rPr>
        <w:t>В регионе сохраняется миграционная убыль населения, которая в январе-октябре 2019 года составила 3 653 человека, что на 9,2 % больше, чем в соответствующем периоде 2018 года (3 346 человек). Общая численность прибывших и выбывших граждан сократилась на 7,5 %.</w:t>
      </w:r>
    </w:p>
    <w:p w:rsidR="00FB7BDC" w:rsidRPr="00FB7BDC" w:rsidRDefault="00FB7BDC" w:rsidP="00536B03">
      <w:pPr>
        <w:rPr>
          <w:rFonts w:cs="Times New Roman"/>
          <w:color w:val="000000"/>
          <w:szCs w:val="28"/>
          <w:highlight w:val="yellow"/>
        </w:rPr>
      </w:pPr>
    </w:p>
    <w:tbl>
      <w:tblPr>
        <w:tblW w:w="507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8"/>
      </w:tblGrid>
      <w:tr w:rsidR="00F27A55" w:rsidRPr="00544074" w:rsidTr="003B6B49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F27A55" w:rsidRPr="00544074" w:rsidRDefault="00F27A55" w:rsidP="00FF5F09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Уровень жизни населения</w:t>
            </w:r>
          </w:p>
        </w:tc>
      </w:tr>
    </w:tbl>
    <w:p w:rsidR="00536B03" w:rsidRPr="002E64B2" w:rsidRDefault="00F302E2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>С</w:t>
      </w:r>
      <w:r w:rsidR="00536B03" w:rsidRPr="002E64B2">
        <w:rPr>
          <w:rFonts w:cs="Times New Roman"/>
          <w:szCs w:val="28"/>
        </w:rPr>
        <w:t xml:space="preserve">реднемесячная номинальная начисленная заработная плата работников организаций за январь-октябрь т.г. сложилась в </w:t>
      </w:r>
      <w:proofErr w:type="gramStart"/>
      <w:r w:rsidR="00536B03" w:rsidRPr="002E64B2">
        <w:rPr>
          <w:rFonts w:cs="Times New Roman"/>
          <w:szCs w:val="28"/>
        </w:rPr>
        <w:t>размере</w:t>
      </w:r>
      <w:proofErr w:type="gramEnd"/>
      <w:r w:rsidR="00536B03" w:rsidRPr="002E64B2">
        <w:rPr>
          <w:rFonts w:cs="Times New Roman"/>
          <w:szCs w:val="28"/>
        </w:rPr>
        <w:t xml:space="preserve"> 61 209 рублей, по сравнению с уровнем предыдущего года увеличилась на 7,7 %, в реальном исчислении – на 2,6 %.</w:t>
      </w:r>
    </w:p>
    <w:p w:rsidR="00536B03" w:rsidRPr="002E64B2" w:rsidRDefault="00536B03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>В организациях реального сектора экономики наибольшие темпы роста заработной платы по сравнению с соответствующим периодом предыдущего года отмечены по следующим видам деятельности: водный трансп</w:t>
      </w:r>
      <w:r w:rsidR="00874FB2" w:rsidRPr="002E64B2">
        <w:rPr>
          <w:rFonts w:cs="Times New Roman"/>
          <w:szCs w:val="28"/>
        </w:rPr>
        <w:t>орт – 131 </w:t>
      </w:r>
      <w:r w:rsidRPr="002E64B2">
        <w:rPr>
          <w:rFonts w:cs="Times New Roman"/>
          <w:szCs w:val="28"/>
        </w:rPr>
        <w:t xml:space="preserve">%, строительство – 115 %, страховая деятельность – 113 %, оптовая торговля – 112 %, добыча полезных ископаемых и деятельность гостиниц – </w:t>
      </w:r>
      <w:r w:rsidR="00CC1882" w:rsidRPr="002E64B2">
        <w:rPr>
          <w:rFonts w:cs="Times New Roman"/>
          <w:szCs w:val="28"/>
        </w:rPr>
        <w:t xml:space="preserve">111 %, </w:t>
      </w:r>
      <w:r w:rsidRPr="002E64B2">
        <w:rPr>
          <w:rFonts w:cs="Times New Roman"/>
          <w:szCs w:val="28"/>
        </w:rPr>
        <w:t>деятельность по предоставлению финансовых услуг – 109 %, лесное хозяйство – 108 %.</w:t>
      </w:r>
    </w:p>
    <w:p w:rsidR="00536B03" w:rsidRPr="002E64B2" w:rsidRDefault="00536B03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Среди организаций социального блока наиболее значительно увеличилась оплата труда в </w:t>
      </w:r>
      <w:proofErr w:type="gramStart"/>
      <w:r w:rsidRPr="002E64B2">
        <w:rPr>
          <w:rFonts w:cs="Times New Roman"/>
          <w:szCs w:val="28"/>
        </w:rPr>
        <w:t>организациях</w:t>
      </w:r>
      <w:proofErr w:type="gramEnd"/>
      <w:r w:rsidRPr="002E64B2">
        <w:rPr>
          <w:rFonts w:cs="Times New Roman"/>
          <w:szCs w:val="28"/>
        </w:rPr>
        <w:t>, осуществляющих деятельность в области культуры, спорта, организации досуг</w:t>
      </w:r>
      <w:r w:rsidR="00874FB2" w:rsidRPr="002E64B2">
        <w:rPr>
          <w:rFonts w:cs="Times New Roman"/>
          <w:szCs w:val="28"/>
        </w:rPr>
        <w:t>а и развлечений (в среднем на 9 </w:t>
      </w:r>
      <w:r w:rsidRPr="002E64B2">
        <w:rPr>
          <w:rFonts w:cs="Times New Roman"/>
          <w:szCs w:val="28"/>
        </w:rPr>
        <w:t>%) и в  области здравоохранения (на 7 %).</w:t>
      </w:r>
    </w:p>
    <w:p w:rsidR="00536B03" w:rsidRPr="002E64B2" w:rsidRDefault="00874FB2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По </w:t>
      </w:r>
      <w:r w:rsidR="00536B03" w:rsidRPr="002E64B2">
        <w:rPr>
          <w:rFonts w:cs="Times New Roman"/>
          <w:szCs w:val="28"/>
        </w:rPr>
        <w:t>сведениям организаций (кроме субъектов малого предпринимательства), на 1 декабря 2019 года суммарная задолженность по заработной плате по кругу наблюдаемых видов экономической д</w:t>
      </w:r>
      <w:r w:rsidRPr="002E64B2">
        <w:rPr>
          <w:rFonts w:cs="Times New Roman"/>
          <w:szCs w:val="28"/>
        </w:rPr>
        <w:t xml:space="preserve">еятельности составила 142,4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="00536B03" w:rsidRPr="002E64B2">
        <w:rPr>
          <w:rFonts w:cs="Times New Roman"/>
          <w:szCs w:val="28"/>
        </w:rPr>
        <w:t xml:space="preserve"> рублей и увеличилась по сравнению с</w:t>
      </w:r>
      <w:r w:rsidRPr="002E64B2">
        <w:rPr>
          <w:rFonts w:cs="Times New Roman"/>
          <w:szCs w:val="28"/>
        </w:rPr>
        <w:t xml:space="preserve"> 1 ноября 2019 года на 10,2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="00536B03" w:rsidRPr="002E64B2">
        <w:rPr>
          <w:rFonts w:cs="Times New Roman"/>
          <w:szCs w:val="28"/>
        </w:rPr>
        <w:t xml:space="preserve"> рублей (на 7,7 %), в основном за сч</w:t>
      </w:r>
      <w:r w:rsidRPr="002E64B2">
        <w:rPr>
          <w:rFonts w:cs="Times New Roman"/>
          <w:szCs w:val="28"/>
        </w:rPr>
        <w:t>е</w:t>
      </w:r>
      <w:r w:rsidR="00536B03" w:rsidRPr="002E64B2">
        <w:rPr>
          <w:rFonts w:cs="Times New Roman"/>
          <w:szCs w:val="28"/>
        </w:rPr>
        <w:t>т е</w:t>
      </w:r>
      <w:r w:rsidRPr="002E64B2">
        <w:rPr>
          <w:rFonts w:cs="Times New Roman"/>
          <w:szCs w:val="28"/>
        </w:rPr>
        <w:t>е</w:t>
      </w:r>
      <w:r w:rsidR="00536B03" w:rsidRPr="002E64B2">
        <w:rPr>
          <w:rFonts w:cs="Times New Roman"/>
          <w:szCs w:val="28"/>
        </w:rPr>
        <w:t xml:space="preserve"> роста в ПАО «Мурманское морское пароходство».</w:t>
      </w:r>
    </w:p>
    <w:p w:rsidR="00536B03" w:rsidRPr="002E64B2" w:rsidRDefault="00536B03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Численность работников, перед которыми имелась просроченная задолженность по заработной плате, составила 1 489 человек. Вся сумма </w:t>
      </w:r>
      <w:r w:rsidRPr="002E64B2">
        <w:rPr>
          <w:rFonts w:cs="Times New Roman"/>
          <w:szCs w:val="28"/>
        </w:rPr>
        <w:lastRenderedPageBreak/>
        <w:t>задолженности сложилась по причине отсутствия собственных средств организаций.</w:t>
      </w:r>
    </w:p>
    <w:p w:rsidR="00536B03" w:rsidRPr="00543967" w:rsidRDefault="00536B03" w:rsidP="00536B03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>Из одиннадцати организаций, предоставивших сведения о просроченной задолженности по заработной плате, четыре находятся в процессе конкурсного производства, на них приходилось 21,3 % всей задолженности по заработной плате.</w:t>
      </w:r>
    </w:p>
    <w:p w:rsidR="00EB04ED" w:rsidRDefault="00EB04ED" w:rsidP="00290E8A">
      <w:pPr>
        <w:rPr>
          <w:rFonts w:cs="Times New Roman"/>
          <w:szCs w:val="28"/>
        </w:rPr>
      </w:pPr>
    </w:p>
    <w:tbl>
      <w:tblPr>
        <w:tblpPr w:leftFromText="181" w:rightFromText="181" w:vertAnchor="text" w:horzAnchor="margin" w:tblpY="1"/>
        <w:tblW w:w="507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8"/>
      </w:tblGrid>
      <w:tr w:rsidR="00F27A55" w:rsidRPr="00544074" w:rsidTr="00F93EE2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F27A55" w:rsidRPr="00544074" w:rsidRDefault="00F27A55" w:rsidP="00F93EE2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Рынок труда</w:t>
            </w:r>
          </w:p>
        </w:tc>
      </w:tr>
    </w:tbl>
    <w:p w:rsidR="00DD0AE5" w:rsidRPr="002E64B2" w:rsidRDefault="00DD0AE5" w:rsidP="00DD0AE5">
      <w:pPr>
        <w:pStyle w:val="a7"/>
        <w:widowControl w:val="0"/>
        <w:spacing w:after="0"/>
        <w:ind w:left="0"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>В ноябре 2019 года на региональном рынке труда сохранялась относительно стабильная ситуация.</w:t>
      </w:r>
    </w:p>
    <w:p w:rsidR="00DD0AE5" w:rsidRPr="002E64B2" w:rsidRDefault="00DD0AE5" w:rsidP="00DD0AE5">
      <w:pPr>
        <w:pStyle w:val="a7"/>
        <w:widowControl w:val="0"/>
        <w:spacing w:after="0"/>
        <w:ind w:left="0"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Уровень зарегистрированной безработицы (к численности рабочей силы) составил 1,5 %, что соответствует уровню ноября прошлого года. Численность зарегистрированных безработных </w:t>
      </w:r>
      <w:proofErr w:type="gramStart"/>
      <w:r w:rsidRPr="002E64B2">
        <w:rPr>
          <w:rFonts w:cs="Times New Roman"/>
          <w:szCs w:val="28"/>
        </w:rPr>
        <w:t>сократилась на 2,0 % к ноябрю 2018 года и на конец ноября 2019 года составила</w:t>
      </w:r>
      <w:proofErr w:type="gramEnd"/>
      <w:r w:rsidRPr="002E64B2">
        <w:rPr>
          <w:rFonts w:cs="Times New Roman"/>
          <w:szCs w:val="28"/>
        </w:rPr>
        <w:t xml:space="preserve"> 6 414 человека.</w:t>
      </w:r>
    </w:p>
    <w:p w:rsidR="00284868" w:rsidRDefault="00DD0AE5" w:rsidP="00DD0AE5">
      <w:pPr>
        <w:pStyle w:val="a7"/>
        <w:widowControl w:val="0"/>
        <w:spacing w:after="0"/>
        <w:ind w:left="0" w:firstLine="709"/>
        <w:rPr>
          <w:rFonts w:cs="Times New Roman"/>
          <w:szCs w:val="28"/>
        </w:rPr>
      </w:pPr>
      <w:proofErr w:type="gramStart"/>
      <w:r w:rsidRPr="002E64B2">
        <w:rPr>
          <w:rFonts w:cs="Times New Roman"/>
          <w:szCs w:val="28"/>
        </w:rPr>
        <w:t xml:space="preserve">Продолжала сохраняться дифференциация территорий по уровню зарегистрированной безработицы (к численности трудоспособного населения): в Терском районе – 9,1 %, </w:t>
      </w:r>
      <w:proofErr w:type="spellStart"/>
      <w:r w:rsidRPr="002E64B2">
        <w:rPr>
          <w:rFonts w:cs="Times New Roman"/>
          <w:szCs w:val="28"/>
        </w:rPr>
        <w:t>Ловозерском</w:t>
      </w:r>
      <w:proofErr w:type="spellEnd"/>
      <w:r w:rsidRPr="002E64B2">
        <w:rPr>
          <w:rFonts w:cs="Times New Roman"/>
          <w:szCs w:val="28"/>
        </w:rPr>
        <w:t xml:space="preserve"> районе – 6,0 %, г. Полярные Зори – 2,9 %, Кандалакшском районе – 2,8 %, г. Кировске – 2,4 %, г. Мончегорске и </w:t>
      </w:r>
      <w:proofErr w:type="spellStart"/>
      <w:r w:rsidRPr="002E64B2">
        <w:rPr>
          <w:rFonts w:cs="Times New Roman"/>
          <w:szCs w:val="28"/>
        </w:rPr>
        <w:t>Ковдорском</w:t>
      </w:r>
      <w:proofErr w:type="spellEnd"/>
      <w:r w:rsidRPr="002E64B2">
        <w:rPr>
          <w:rFonts w:cs="Times New Roman"/>
          <w:szCs w:val="28"/>
        </w:rPr>
        <w:t xml:space="preserve"> районе – 2,1 %.</w:t>
      </w:r>
      <w:proofErr w:type="gramEnd"/>
    </w:p>
    <w:p w:rsidR="00DD0AE5" w:rsidRPr="00544074" w:rsidRDefault="00DD0AE5" w:rsidP="00DD0AE5">
      <w:pPr>
        <w:pStyle w:val="a7"/>
        <w:widowControl w:val="0"/>
        <w:spacing w:after="0"/>
        <w:ind w:left="0" w:firstLine="709"/>
        <w:rPr>
          <w:rFonts w:cs="Times New Roman"/>
          <w:szCs w:val="28"/>
        </w:rPr>
      </w:pPr>
    </w:p>
    <w:tbl>
      <w:tblPr>
        <w:tblW w:w="5077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98"/>
      </w:tblGrid>
      <w:tr w:rsidR="00F27A55" w:rsidRPr="00544074" w:rsidTr="00554FFF">
        <w:trPr>
          <w:trHeight w:val="424"/>
          <w:tblCellSpacing w:w="0" w:type="dxa"/>
        </w:trPr>
        <w:tc>
          <w:tcPr>
            <w:tcW w:w="5000" w:type="pct"/>
            <w:shd w:val="clear" w:color="auto" w:fill="008080"/>
            <w:vAlign w:val="center"/>
            <w:hideMark/>
          </w:tcPr>
          <w:p w:rsidR="00F27A55" w:rsidRPr="00544074" w:rsidRDefault="00F27A55" w:rsidP="00FF5F09">
            <w:pPr>
              <w:spacing w:before="40" w:after="40"/>
              <w:ind w:left="40" w:right="40" w:hanging="40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Потребительский рынок</w:t>
            </w:r>
          </w:p>
        </w:tc>
      </w:tr>
    </w:tbl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Показатели потребительского рынка Мурманской области в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январе-ноябре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2019 года демонстрировали сдержанную динамику.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Оборот розничной торговли в сопоставимых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ценах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не изменился по сравнению с соответствующим периодом 2018 года.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При этом объем продаж продовольственных товаров превысил уровень предыдущего года на 0,3 %, непродовольственных товаров, наоборот, снизился на 0,4 %.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В результате доля продовольственных товаров в структуре оборота розничной торговли в анализируемом периоде увеличилась до 59,9 % против 58,9 % в аналогичном периоде 2018 года, доля непродовольственных товаров, соответственно, снизилась до 40,1 % (в 2018 году – 41,1 %).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Оборот общественного питания в сопоставимых 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ценах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сократился на 0,2 % по сравнению с уровнем 2018 года.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По предварительным данным индекс физического объема платных услуг населению составил 99,6 % по отношению к аналогичному периоду 2018 года.</w:t>
      </w:r>
    </w:p>
    <w:p w:rsidR="00DD0AE5" w:rsidRPr="002E64B2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Отмечено снижение физических объемов услуг физической культуры и спорта (на 7 %), услуг специализированных коллективных  средств размещения (на 5 %).</w:t>
      </w:r>
    </w:p>
    <w:p w:rsidR="00DD0AE5" w:rsidRPr="00543967" w:rsidRDefault="00DD0AE5" w:rsidP="00DD0AE5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При этом физические объемы туристских услуг увеличились по сравнению с соответствующим периодом 2018 года на 5 %.</w:t>
      </w:r>
    </w:p>
    <w:p w:rsidR="00F27A55" w:rsidRPr="00544074" w:rsidRDefault="00F27A55" w:rsidP="007F7BD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W w:w="4944" w:type="pct"/>
        <w:tblInd w:w="108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ook w:val="04A0"/>
      </w:tblPr>
      <w:tblGrid>
        <w:gridCol w:w="4395"/>
        <w:gridCol w:w="2125"/>
        <w:gridCol w:w="2943"/>
      </w:tblGrid>
      <w:tr w:rsidR="00790E0A" w:rsidRPr="00544074" w:rsidTr="005947A2">
        <w:trPr>
          <w:trHeight w:val="349"/>
        </w:trPr>
        <w:tc>
          <w:tcPr>
            <w:tcW w:w="2322" w:type="pct"/>
            <w:vMerge w:val="restart"/>
            <w:shd w:val="clear" w:color="auto" w:fill="auto"/>
            <w:vAlign w:val="center"/>
            <w:hideMark/>
          </w:tcPr>
          <w:p w:rsidR="00790E0A" w:rsidRPr="00544074" w:rsidRDefault="00790E0A" w:rsidP="005947A2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2678" w:type="pct"/>
            <w:gridSpan w:val="2"/>
            <w:shd w:val="clear" w:color="auto" w:fill="auto"/>
          </w:tcPr>
          <w:p w:rsidR="00790E0A" w:rsidRPr="00544074" w:rsidRDefault="00284868" w:rsidP="00D3328E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color w:val="000000"/>
                <w:szCs w:val="28"/>
                <w:lang w:eastAsia="ru-RU"/>
              </w:rPr>
              <w:t>январь-</w:t>
            </w:r>
            <w:r w:rsidR="00111AAB">
              <w:rPr>
                <w:rFonts w:eastAsia="Times New Roman" w:cs="Times New Roman"/>
                <w:color w:val="000000"/>
                <w:szCs w:val="28"/>
                <w:lang w:eastAsia="ru-RU"/>
              </w:rPr>
              <w:t>ноябрь</w:t>
            </w:r>
            <w:r w:rsidR="00790E0A" w:rsidRPr="00544074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2019</w:t>
            </w:r>
          </w:p>
        </w:tc>
      </w:tr>
      <w:tr w:rsidR="00790E0A" w:rsidRPr="00544074" w:rsidTr="005947A2">
        <w:trPr>
          <w:trHeight w:val="642"/>
        </w:trPr>
        <w:tc>
          <w:tcPr>
            <w:tcW w:w="2322" w:type="pct"/>
            <w:vMerge/>
            <w:shd w:val="clear" w:color="auto" w:fill="auto"/>
            <w:vAlign w:val="center"/>
            <w:hideMark/>
          </w:tcPr>
          <w:p w:rsidR="00790E0A" w:rsidRPr="00544074" w:rsidRDefault="00790E0A" w:rsidP="005947A2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1123" w:type="pct"/>
            <w:shd w:val="clear" w:color="auto" w:fill="auto"/>
          </w:tcPr>
          <w:p w:rsidR="00790E0A" w:rsidRPr="00544074" w:rsidRDefault="00790E0A" w:rsidP="005947A2">
            <w:pPr>
              <w:ind w:hanging="27"/>
              <w:jc w:val="center"/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>млн руб.</w:t>
            </w:r>
          </w:p>
        </w:tc>
        <w:tc>
          <w:tcPr>
            <w:tcW w:w="1555" w:type="pct"/>
            <w:shd w:val="clear" w:color="auto" w:fill="auto"/>
          </w:tcPr>
          <w:p w:rsidR="00790E0A" w:rsidRPr="00544074" w:rsidRDefault="00790E0A" w:rsidP="005947A2">
            <w:pPr>
              <w:ind w:hanging="27"/>
              <w:jc w:val="center"/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 xml:space="preserve">в % к 2018 году </w:t>
            </w:r>
          </w:p>
          <w:p w:rsidR="00790E0A" w:rsidRPr="00544074" w:rsidRDefault="00790E0A" w:rsidP="005947A2">
            <w:pPr>
              <w:ind w:hanging="27"/>
              <w:jc w:val="center"/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>в сопоставимых ценах</w:t>
            </w:r>
          </w:p>
        </w:tc>
      </w:tr>
      <w:tr w:rsidR="00790E0A" w:rsidRPr="00544074" w:rsidTr="005947A2">
        <w:trPr>
          <w:trHeight w:val="379"/>
        </w:trPr>
        <w:tc>
          <w:tcPr>
            <w:tcW w:w="2322" w:type="pct"/>
            <w:shd w:val="clear" w:color="auto" w:fill="auto"/>
            <w:vAlign w:val="center"/>
          </w:tcPr>
          <w:p w:rsidR="00790E0A" w:rsidRPr="00544074" w:rsidRDefault="00790E0A" w:rsidP="005947A2">
            <w:pPr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>Оборот розничной торговли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790E0A" w:rsidRPr="00544074" w:rsidRDefault="00111AAB" w:rsidP="00D3328E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158 356,9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790E0A" w:rsidRPr="00544074" w:rsidRDefault="00D3328E" w:rsidP="005947A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100</w:t>
            </w:r>
          </w:p>
        </w:tc>
      </w:tr>
      <w:tr w:rsidR="00790E0A" w:rsidRPr="00544074" w:rsidTr="005947A2">
        <w:trPr>
          <w:trHeight w:val="379"/>
        </w:trPr>
        <w:tc>
          <w:tcPr>
            <w:tcW w:w="2322" w:type="pct"/>
            <w:shd w:val="clear" w:color="auto" w:fill="auto"/>
            <w:vAlign w:val="center"/>
          </w:tcPr>
          <w:p w:rsidR="00790E0A" w:rsidRPr="00544074" w:rsidRDefault="00790E0A" w:rsidP="005947A2">
            <w:pPr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>Объем платных услуг населению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790E0A" w:rsidRPr="00544074" w:rsidRDefault="00111AAB" w:rsidP="005947A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56 928,6</w:t>
            </w:r>
          </w:p>
        </w:tc>
        <w:tc>
          <w:tcPr>
            <w:tcW w:w="1555" w:type="pct"/>
            <w:shd w:val="clear" w:color="auto" w:fill="auto"/>
            <w:vAlign w:val="center"/>
          </w:tcPr>
          <w:p w:rsidR="00790E0A" w:rsidRPr="00544074" w:rsidRDefault="00111AAB" w:rsidP="005947A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99,6</w:t>
            </w:r>
          </w:p>
        </w:tc>
      </w:tr>
      <w:tr w:rsidR="00790E0A" w:rsidRPr="00544074" w:rsidTr="005947A2">
        <w:trPr>
          <w:trHeight w:val="379"/>
        </w:trPr>
        <w:tc>
          <w:tcPr>
            <w:tcW w:w="2322" w:type="pct"/>
            <w:tcBorders>
              <w:bottom w:val="single" w:sz="4" w:space="0" w:color="008080"/>
            </w:tcBorders>
            <w:shd w:val="clear" w:color="auto" w:fill="auto"/>
            <w:vAlign w:val="center"/>
          </w:tcPr>
          <w:p w:rsidR="00790E0A" w:rsidRPr="00544074" w:rsidRDefault="00790E0A" w:rsidP="005947A2">
            <w:pPr>
              <w:rPr>
                <w:rFonts w:eastAsia="Times New Roman"/>
                <w:szCs w:val="28"/>
                <w:lang w:eastAsia="ru-RU"/>
              </w:rPr>
            </w:pPr>
            <w:r w:rsidRPr="00544074">
              <w:rPr>
                <w:rFonts w:eastAsia="Times New Roman"/>
                <w:szCs w:val="28"/>
                <w:lang w:eastAsia="ru-RU"/>
              </w:rPr>
              <w:t>Оборот общественного питания</w:t>
            </w:r>
          </w:p>
        </w:tc>
        <w:tc>
          <w:tcPr>
            <w:tcW w:w="1123" w:type="pct"/>
            <w:tcBorders>
              <w:bottom w:val="single" w:sz="4" w:space="0" w:color="008080"/>
            </w:tcBorders>
            <w:shd w:val="clear" w:color="auto" w:fill="auto"/>
            <w:vAlign w:val="center"/>
          </w:tcPr>
          <w:p w:rsidR="00790E0A" w:rsidRPr="00544074" w:rsidRDefault="00111AAB" w:rsidP="005947A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12 977,8</w:t>
            </w:r>
          </w:p>
        </w:tc>
        <w:tc>
          <w:tcPr>
            <w:tcW w:w="1555" w:type="pct"/>
            <w:tcBorders>
              <w:bottom w:val="single" w:sz="4" w:space="0" w:color="008080"/>
            </w:tcBorders>
            <w:shd w:val="clear" w:color="auto" w:fill="auto"/>
            <w:vAlign w:val="center"/>
          </w:tcPr>
          <w:p w:rsidR="00790E0A" w:rsidRPr="00544074" w:rsidRDefault="00D3328E" w:rsidP="005947A2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99,</w:t>
            </w:r>
            <w:r w:rsidR="00111AAB">
              <w:rPr>
                <w:rFonts w:cs="Times New Roman"/>
                <w:color w:val="000000"/>
                <w:szCs w:val="28"/>
              </w:rPr>
              <w:t>8</w:t>
            </w:r>
          </w:p>
        </w:tc>
      </w:tr>
    </w:tbl>
    <w:p w:rsidR="0077599B" w:rsidRPr="00544074" w:rsidRDefault="0077599B" w:rsidP="0070371D">
      <w:pPr>
        <w:rPr>
          <w:lang w:eastAsia="ru-RU"/>
        </w:rPr>
      </w:pPr>
    </w:p>
    <w:tbl>
      <w:tblPr>
        <w:tblW w:w="9463" w:type="dxa"/>
        <w:tblInd w:w="108" w:type="dxa"/>
        <w:tblLook w:val="04A0"/>
      </w:tblPr>
      <w:tblGrid>
        <w:gridCol w:w="9463"/>
      </w:tblGrid>
      <w:tr w:rsidR="00F27A55" w:rsidRPr="00544074" w:rsidTr="00976B08">
        <w:trPr>
          <w:trHeight w:val="379"/>
        </w:trPr>
        <w:tc>
          <w:tcPr>
            <w:tcW w:w="9463" w:type="dxa"/>
            <w:tcBorders>
              <w:left w:val="nil"/>
              <w:bottom w:val="nil"/>
              <w:right w:val="nil"/>
            </w:tcBorders>
            <w:shd w:val="clear" w:color="000000" w:fill="008080"/>
            <w:vAlign w:val="center"/>
            <w:hideMark/>
          </w:tcPr>
          <w:p w:rsidR="00F27A55" w:rsidRPr="00544074" w:rsidRDefault="00F27A55" w:rsidP="00FF5F09">
            <w:pPr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544074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Инфляция</w:t>
            </w:r>
          </w:p>
        </w:tc>
      </w:tr>
    </w:tbl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В ноябре 2019 года инфляция сложилась на уровне 103,0 % к декабрю предыдущего года (в 2018 году – 103,4 %), что выше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среднероссийского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уровня на 0,3 процентного пункта (РФ – 102,7 %).</w:t>
      </w:r>
    </w:p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Цены на платные услуги населению с начала года увеличились на 3,6 %, непродовольственные товары – на 3,0 %, продовольственные товары – на 2,5 % (по России, соответственно, на 3,5 %, 2,8 % и 1,9 %).</w:t>
      </w:r>
    </w:p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Из числа платных услуг населению услуги правового характера  подорожали на 11 %, услуги в системе образования – на 10 %, ветеринарные услуги – на 9 %, услуги организаций культуры – на 5 %, услуги связи,  медицинские услуги, бытовые услуги, жилищно-коммунальные услуги, услуги банков, экскурсионные услуги и услуги страхования – на 4 %.</w:t>
      </w:r>
    </w:p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На рост цен на непродовольственные товары в целом повлияло удорожание табачных изделий (на 12 %), товаров для животных и парфюмерно-косметических товаров (на 8 %), ниток (на 7 %), печатных изданий (на 6 %), медицинских товаров, моющих и чистящих средств, спичек, полотенец (на 5 %), бумажно-беловых товаров (</w:t>
      </w: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на</w:t>
      </w:r>
      <w:proofErr w:type="gram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4 %).</w:t>
      </w:r>
    </w:p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Подешевели </w:t>
      </w:r>
      <w:proofErr w:type="spellStart"/>
      <w:r w:rsidRPr="002E64B2">
        <w:rPr>
          <w:rFonts w:eastAsia="Times New Roman" w:cs="Times New Roman"/>
          <w:color w:val="000000"/>
          <w:szCs w:val="28"/>
          <w:lang w:eastAsia="ru-RU"/>
        </w:rPr>
        <w:t>телерадиотовары</w:t>
      </w:r>
      <w:proofErr w:type="spellEnd"/>
      <w:r w:rsidRPr="002E64B2">
        <w:rPr>
          <w:rFonts w:eastAsia="Times New Roman" w:cs="Times New Roman"/>
          <w:color w:val="000000"/>
          <w:szCs w:val="28"/>
          <w:lang w:eastAsia="ru-RU"/>
        </w:rPr>
        <w:t xml:space="preserve"> (на 5 %), средства связи (на 4 %).</w:t>
      </w:r>
    </w:p>
    <w:p w:rsidR="00111AAB" w:rsidRPr="002E64B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 w:rsidRPr="002E64B2">
        <w:rPr>
          <w:rFonts w:eastAsia="Times New Roman" w:cs="Times New Roman"/>
          <w:color w:val="000000"/>
          <w:szCs w:val="28"/>
          <w:lang w:eastAsia="ru-RU"/>
        </w:rPr>
        <w:t>Из числа продовольственных товаров наибольшее увеличение стоимости зарегистрировано на консервы фруктово-ягодные, муку, фрукты и цитрусовые – на 9 %, сыр, макаронные и крупяные изделия – на 8 %, молоко и молочную продукцию – на 7 %, масло и жиры, консервы овощные, хлеб и хлебобулочные изделия – 5 %, кондитерские изделия, чай, кофе и какао – на 4 %.</w:t>
      </w:r>
      <w:proofErr w:type="gramEnd"/>
    </w:p>
    <w:p w:rsidR="00111AAB" w:rsidRPr="00647892" w:rsidRDefault="00111AAB" w:rsidP="00111AAB">
      <w:pPr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2E64B2">
        <w:rPr>
          <w:rFonts w:eastAsia="Times New Roman" w:cs="Times New Roman"/>
          <w:color w:val="000000"/>
          <w:szCs w:val="28"/>
          <w:lang w:eastAsia="ru-RU"/>
        </w:rPr>
        <w:t>При этом цены на сахар снизились – на 19 %, картофель – на 18 %,  овощи – на 13 %, яйца – на 8 %.</w:t>
      </w:r>
    </w:p>
    <w:p w:rsidR="007F7BDB" w:rsidRPr="00544074" w:rsidRDefault="007F7BDB" w:rsidP="002450BD">
      <w:pPr>
        <w:ind w:firstLine="709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544074">
        <w:rPr>
          <w:rFonts w:eastAsia="Times New Roman" w:cs="Times New Roman"/>
          <w:color w:val="000000"/>
          <w:szCs w:val="28"/>
          <w:lang w:eastAsia="ru-RU"/>
        </w:rPr>
        <w:tab/>
      </w:r>
      <w:r w:rsidRPr="00544074">
        <w:rPr>
          <w:rFonts w:eastAsia="Times New Roman" w:cs="Times New Roman"/>
          <w:color w:val="000000"/>
          <w:szCs w:val="28"/>
          <w:lang w:eastAsia="ru-RU"/>
        </w:rPr>
        <w:tab/>
      </w:r>
      <w:r w:rsidRPr="00544074">
        <w:rPr>
          <w:rFonts w:eastAsia="Times New Roman" w:cs="Times New Roman"/>
          <w:color w:val="000000"/>
          <w:szCs w:val="28"/>
          <w:lang w:eastAsia="ru-RU"/>
        </w:rPr>
        <w:tab/>
      </w:r>
      <w:r w:rsidRPr="00544074">
        <w:rPr>
          <w:rFonts w:eastAsia="Times New Roman" w:cs="Times New Roman"/>
          <w:color w:val="000000"/>
          <w:szCs w:val="28"/>
          <w:lang w:eastAsia="ru-RU"/>
        </w:rPr>
        <w:tab/>
      </w:r>
      <w:r w:rsidRPr="00544074">
        <w:rPr>
          <w:rFonts w:eastAsia="Times New Roman" w:cs="Times New Roman"/>
          <w:color w:val="000000"/>
          <w:szCs w:val="28"/>
          <w:lang w:eastAsia="ru-RU"/>
        </w:rPr>
        <w:tab/>
      </w:r>
    </w:p>
    <w:p w:rsidR="007F7BDB" w:rsidRPr="00544074" w:rsidRDefault="00111AAB" w:rsidP="007F7B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8"/>
        </w:tabs>
        <w:jc w:val="center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>ноябрь</w:t>
      </w:r>
      <w:r w:rsidR="007F7BDB" w:rsidRPr="00544074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2018 к декабрю 2017      </w:t>
      </w: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>ноябрь</w:t>
      </w:r>
      <w:r w:rsidR="007F7BDB" w:rsidRPr="00544074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2019 к декабрю 2018</w:t>
      </w:r>
    </w:p>
    <w:p w:rsidR="007F7BDB" w:rsidRPr="00544074" w:rsidRDefault="00111AAB" w:rsidP="007F7B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8"/>
        </w:tabs>
        <w:jc w:val="center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i/>
          <w:color w:val="000000"/>
          <w:sz w:val="24"/>
          <w:szCs w:val="24"/>
          <w:lang w:eastAsia="ru-RU"/>
        </w:rPr>
        <w:t>ИПЦ 103,4 %           ИПЦ 103</w:t>
      </w:r>
      <w:r w:rsidR="007F7BDB" w:rsidRPr="00544074">
        <w:rPr>
          <w:rFonts w:eastAsia="Times New Roman" w:cs="Times New Roman"/>
          <w:i/>
          <w:color w:val="000000"/>
          <w:sz w:val="24"/>
          <w:szCs w:val="24"/>
          <w:lang w:eastAsia="ru-RU"/>
        </w:rPr>
        <w:t xml:space="preserve"> %</w:t>
      </w:r>
    </w:p>
    <w:p w:rsidR="007F7BDB" w:rsidRPr="00396A43" w:rsidRDefault="00D177E3" w:rsidP="007F7BDB">
      <w:pPr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307975</wp:posOffset>
            </wp:positionV>
            <wp:extent cx="3020695" cy="1713230"/>
            <wp:effectExtent l="57150" t="19050" r="46355" b="1270"/>
            <wp:wrapSquare wrapText="bothSides"/>
            <wp:docPr id="11" name="PrxChart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307975</wp:posOffset>
            </wp:positionV>
            <wp:extent cx="2874645" cy="1713865"/>
            <wp:effectExtent l="57150" t="19050" r="40005" b="635"/>
            <wp:wrapSquare wrapText="bothSides"/>
            <wp:docPr id="17" name="PrxChart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7F7BDB" w:rsidRPr="00544074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Вклад в инфляцию (в процентных </w:t>
      </w:r>
      <w:proofErr w:type="gramStart"/>
      <w:r w:rsidR="007F7BDB" w:rsidRPr="00544074">
        <w:rPr>
          <w:rFonts w:eastAsia="Times New Roman" w:cs="Times New Roman"/>
          <w:b/>
          <w:color w:val="000000"/>
          <w:sz w:val="24"/>
          <w:szCs w:val="24"/>
          <w:lang w:eastAsia="ru-RU"/>
        </w:rPr>
        <w:t>пунктах</w:t>
      </w:r>
      <w:proofErr w:type="gramEnd"/>
      <w:r w:rsidR="007F7BDB" w:rsidRPr="00544074">
        <w:rPr>
          <w:rFonts w:eastAsia="Times New Roman" w:cs="Times New Roman"/>
          <w:b/>
          <w:color w:val="000000"/>
          <w:sz w:val="24"/>
          <w:szCs w:val="24"/>
          <w:lang w:eastAsia="ru-RU"/>
        </w:rPr>
        <w:t>)</w:t>
      </w:r>
    </w:p>
    <w:p w:rsidR="00111AAB" w:rsidRPr="00D177E3" w:rsidRDefault="00111AAB" w:rsidP="00D177E3">
      <w:pPr>
        <w:pStyle w:val="af"/>
        <w:jc w:val="both"/>
        <w:rPr>
          <w:bCs/>
          <w:szCs w:val="28"/>
        </w:rPr>
      </w:pPr>
      <w:proofErr w:type="spellStart"/>
      <w:r w:rsidRPr="00AD5F6A">
        <w:rPr>
          <w:bCs/>
          <w:szCs w:val="28"/>
        </w:rPr>
        <w:lastRenderedPageBreak/>
        <w:t>Т</w:t>
      </w:r>
      <w:r w:rsidR="00065CE2" w:rsidRPr="00AD5F6A">
        <w:rPr>
          <w:bCs/>
          <w:szCs w:val="28"/>
        </w:rPr>
        <w:t>и</w:t>
      </w:r>
      <w:proofErr w:type="spellEnd"/>
    </w:p>
    <w:tbl>
      <w:tblPr>
        <w:tblW w:w="4944" w:type="pct"/>
        <w:tblInd w:w="108" w:type="dxa"/>
        <w:tblLook w:val="04A0"/>
      </w:tblPr>
      <w:tblGrid>
        <w:gridCol w:w="9463"/>
      </w:tblGrid>
      <w:tr w:rsidR="00F27A55" w:rsidRPr="00570E36" w:rsidTr="00976B08">
        <w:trPr>
          <w:trHeight w:val="37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000000" w:fill="008080"/>
            <w:vAlign w:val="center"/>
            <w:hideMark/>
          </w:tcPr>
          <w:p w:rsidR="00F27A55" w:rsidRPr="00AD5F6A" w:rsidRDefault="00F27A55" w:rsidP="00FF5F09">
            <w:pPr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AD5F6A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Бюджетная система области</w:t>
            </w:r>
          </w:p>
        </w:tc>
      </w:tr>
    </w:tbl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По состоянию на 01.12.2019 консолидированный бюджет Мурманской области исполнен по доходам (без внутренних оборотов) в сумме 90,8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 (90,1 % от годовых плановых назначений на 2019 год) с ростом к январю-ноябрю 2018 года в 1,3 раза (на 19,8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рублей), по расходам – 81,6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 (78,9 % от утвержденных бюджетных назначений) с ростом к аналогичному периоду прошлого года на 17,4 % (на 12,1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Результат исполнения – </w:t>
      </w:r>
      <w:proofErr w:type="spellStart"/>
      <w:r w:rsidRPr="002E64B2">
        <w:rPr>
          <w:rFonts w:cs="Times New Roman"/>
          <w:szCs w:val="28"/>
        </w:rPr>
        <w:t>профицит</w:t>
      </w:r>
      <w:proofErr w:type="spellEnd"/>
      <w:r w:rsidRPr="002E64B2">
        <w:rPr>
          <w:rFonts w:cs="Times New Roman"/>
          <w:szCs w:val="28"/>
        </w:rPr>
        <w:t xml:space="preserve"> в сумме 9,2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 (на 01.12.2018 – </w:t>
      </w:r>
      <w:proofErr w:type="spellStart"/>
      <w:r w:rsidRPr="002E64B2">
        <w:rPr>
          <w:rFonts w:cs="Times New Roman"/>
          <w:szCs w:val="28"/>
        </w:rPr>
        <w:t>профицит</w:t>
      </w:r>
      <w:proofErr w:type="spellEnd"/>
      <w:r w:rsidRPr="002E64B2">
        <w:rPr>
          <w:rFonts w:cs="Times New Roman"/>
          <w:szCs w:val="28"/>
        </w:rPr>
        <w:t xml:space="preserve"> 1,4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Налоговые и неналоговые доходы за январь-ноябрь 2019 года возросли по сравнению с аналогичным периодом 2018 года на 20,5 % (на 13,4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и составили 78,7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На увеличение налоговых доходов в основном оказал влияние рост поступлений </w:t>
      </w:r>
      <w:proofErr w:type="gramStart"/>
      <w:r w:rsidRPr="002E64B2">
        <w:rPr>
          <w:rFonts w:cs="Times New Roman"/>
          <w:szCs w:val="28"/>
        </w:rPr>
        <w:t>по</w:t>
      </w:r>
      <w:proofErr w:type="gramEnd"/>
      <w:r w:rsidRPr="002E64B2">
        <w:rPr>
          <w:rFonts w:cs="Times New Roman"/>
          <w:szCs w:val="28"/>
        </w:rPr>
        <w:t>: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налогу на прибыль организаций – в 1,6 раза (на 11,6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за счет роста поступлений от крупнейших налогоплательщиков;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налогу на доходы физических лиц – на 4 % (на 1,1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в связи с увеличением средней заработной платы работников организаций;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акцизам - в 1,2 раза (на 398,7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в результате увеличения объема реализации алкогольной продукции с содержанием объемной доли этилового спирта свыше 9 %;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налогу на добычу полезных ископаемых – в 1,2 раза (на 201,8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в основном в результате не поступления налога в аналогичном периоде 2018 года от крупнейших налогоплательщиков по причине зачета допущенной в 2017 году переплаты;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единому сельскохозяйственному налогу – на 2,5 % (на 52,9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преимущественно за счет повышения доходов предприятий </w:t>
      </w:r>
      <w:proofErr w:type="spellStart"/>
      <w:r w:rsidRPr="002E64B2">
        <w:rPr>
          <w:rFonts w:cs="Times New Roman"/>
          <w:szCs w:val="28"/>
        </w:rPr>
        <w:t>рыбохозяйственного</w:t>
      </w:r>
      <w:proofErr w:type="spellEnd"/>
      <w:r w:rsidRPr="002E64B2">
        <w:rPr>
          <w:rFonts w:cs="Times New Roman"/>
          <w:szCs w:val="28"/>
        </w:rPr>
        <w:t xml:space="preserve"> комплекса.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Одновременно с этим наблюдается снижение поступлений </w:t>
      </w:r>
      <w:proofErr w:type="gramStart"/>
      <w:r w:rsidRPr="002E64B2">
        <w:rPr>
          <w:rFonts w:cs="Times New Roman"/>
          <w:szCs w:val="28"/>
        </w:rPr>
        <w:t>по</w:t>
      </w:r>
      <w:proofErr w:type="gramEnd"/>
      <w:r w:rsidRPr="002E64B2">
        <w:rPr>
          <w:rFonts w:cs="Times New Roman"/>
          <w:szCs w:val="28"/>
        </w:rPr>
        <w:t>: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налогу на имущество организаций – на 5,3 % (на 314,2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в результате исключения движимого имущества из объектов налогообложения с 01.01.2019;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сбору за пользование объектами животного мира и объектами водных биоресурсов – на 7,5 % (на 17,5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в связи с сокращением объемов добычи в 2019 году;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- единому налогу на вмененный доход для отдельных видов деятельности – на 3 % (на 10,1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из-за сокращения числа субъектов малого и среднего предпринимательства в круге применения данного специального налогового режима и перехода ряда хозяйствующих субъектов на упрощенную систему налогообложения (о чем свидетельствует рост поступлений по налогу - на 8,2 %</w:t>
      </w:r>
      <w:r w:rsidR="00B77375">
        <w:rPr>
          <w:rFonts w:cs="Times New Roman"/>
          <w:szCs w:val="28"/>
        </w:rPr>
        <w:t>,</w:t>
      </w:r>
      <w:r w:rsidRPr="002E64B2">
        <w:rPr>
          <w:rFonts w:cs="Times New Roman"/>
          <w:szCs w:val="28"/>
        </w:rPr>
        <w:t xml:space="preserve"> или на 139,8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Pr="002E64B2">
        <w:rPr>
          <w:rFonts w:cs="Times New Roman"/>
          <w:szCs w:val="28"/>
        </w:rPr>
        <w:t xml:space="preserve"> рублей).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Неналоговые поступления в отчетном периоде возросли на 5,1 % (на 144,2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по отношению к январю-ноябрю 2018 года </w:t>
      </w:r>
      <w:r w:rsidRPr="002E64B2">
        <w:rPr>
          <w:rFonts w:cs="Times New Roman"/>
          <w:szCs w:val="28"/>
        </w:rPr>
        <w:lastRenderedPageBreak/>
        <w:t xml:space="preserve">преимущественно в связи с ростом платежей за негативное воздействие на окружающую среду в 1,7 раза (на 149,5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Pr="002E64B2">
        <w:rPr>
          <w:rFonts w:cs="Times New Roman"/>
          <w:szCs w:val="28"/>
        </w:rPr>
        <w:t xml:space="preserve"> рублей), по причине не поступления платы в аналогичном периоде 2018 года от крупнейшего налогоплательщика в результате зачета допущенной в 2017 году переплаты, а также штрафов, санкций, возмещения ущерба на 19,3 % (на 80,3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В то же время сократились доходы от использования имущества, находящегося в государственной и муниципальной собственности на 2,1% (на 36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рублей), прочие неналоговые доходы на 31,1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Pr="002E64B2">
        <w:rPr>
          <w:rFonts w:cs="Times New Roman"/>
          <w:szCs w:val="28"/>
        </w:rPr>
        <w:t xml:space="preserve"> рублей (4,3 % от значения показателя по состоянию на 01.12.2018) и доходы от продажи материальных и нематериальных активов на 21,4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Pr="002E64B2">
        <w:rPr>
          <w:rFonts w:cs="Times New Roman"/>
          <w:szCs w:val="28"/>
        </w:rPr>
        <w:t xml:space="preserve"> рублей, или на 7,4 %.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В сравнении с январем-ноябрем 2018 года безвозмездные поступления в консолидированный бюджет Мурманской области возросли в 2,1 раза (на 6,4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рублей), на что оказало влияние увеличение поступлений из федерального бюджета: дотаций – в 1,8 раза (на 2,5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рублей), субсидий – в 3,3 раза (на 1,3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рублей), субвенций – в 1,2 раза (на 344,3 </w:t>
      </w:r>
      <w:proofErr w:type="spellStart"/>
      <w:r w:rsidRPr="002E64B2">
        <w:rPr>
          <w:rFonts w:cs="Times New Roman"/>
          <w:szCs w:val="28"/>
        </w:rPr>
        <w:t>млн</w:t>
      </w:r>
      <w:proofErr w:type="spellEnd"/>
      <w:r w:rsidRPr="002E64B2">
        <w:rPr>
          <w:rFonts w:cs="Times New Roman"/>
          <w:szCs w:val="28"/>
        </w:rPr>
        <w:t xml:space="preserve"> рублей) и иных межбюджетных трансфертов – в 4,1 раза (на 1,2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В структуре расходов затраты на социальную сферу, которые занимают 65,4 % в общей сумме расходов консолидированного бюджета Мурманской области (на 01.12.2018 – 71,2 %), возросли на 7,9 % (на 3,9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и составили 53,4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рублей. Расходы на жилищно-коммунальное хозяйство выросли почти в 2 раза (на 5,8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рублей) относительно января-ноября 2018 года и составили 12,2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рублей, их доля в общей сумме расходов бюджета занимает 14,9 % (на 01.12.2018 – 9,1 %).</w:t>
      </w:r>
    </w:p>
    <w:p w:rsidR="00CC1882" w:rsidRPr="002E64B2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Бюджетные инвестиции в объекты капитального строительства государственной (муниципальной) собственности и на приобретение объектов недвижимого имущества составили 1,9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рублей, или 2,4 % от общей суммы расходов консолидированного бюджета Мурманской области (в январе-ноябре 2018 года данные расходы составили 2 % от общей суммы расходов, или 1,4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рублей).</w:t>
      </w:r>
    </w:p>
    <w:p w:rsidR="00CC1882" w:rsidRPr="005F6E64" w:rsidRDefault="00CC1882" w:rsidP="00CC1882">
      <w:pPr>
        <w:ind w:firstLine="709"/>
        <w:rPr>
          <w:rFonts w:cs="Times New Roman"/>
          <w:szCs w:val="28"/>
        </w:rPr>
      </w:pPr>
      <w:r w:rsidRPr="002E64B2">
        <w:rPr>
          <w:rFonts w:cs="Times New Roman"/>
          <w:szCs w:val="28"/>
        </w:rPr>
        <w:t xml:space="preserve">Объем государственного долга Мурманской области по состоянию на 01.12.2019 составил 12,3 </w:t>
      </w:r>
      <w:proofErr w:type="spellStart"/>
      <w:proofErr w:type="gramStart"/>
      <w:r w:rsidRPr="002E64B2">
        <w:rPr>
          <w:rFonts w:cs="Times New Roman"/>
          <w:szCs w:val="28"/>
        </w:rPr>
        <w:t>млрд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рублей, снизившись в 1,5 раза, или на 6,3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 по отношению к январю-ноябрю 2018 года. В его структуре доля коммерческих кредитов составила 26 %, что на 24,5 процентных пунктов ниже уровня аналогичного периода прошлого года. Муниципальный долг снизился на 22,2 %, или на 772,1 </w:t>
      </w:r>
      <w:proofErr w:type="spellStart"/>
      <w:proofErr w:type="gramStart"/>
      <w:r w:rsidRPr="002E64B2">
        <w:rPr>
          <w:rFonts w:cs="Times New Roman"/>
          <w:szCs w:val="28"/>
        </w:rPr>
        <w:t>млн</w:t>
      </w:r>
      <w:proofErr w:type="spellEnd"/>
      <w:proofErr w:type="gramEnd"/>
      <w:r w:rsidRPr="002E64B2">
        <w:rPr>
          <w:rFonts w:cs="Times New Roman"/>
          <w:szCs w:val="28"/>
        </w:rPr>
        <w:t xml:space="preserve"> рублей по сравнению с январем-ноябрем 2018 года и на отчетную дату составил 2,7 </w:t>
      </w:r>
      <w:proofErr w:type="spellStart"/>
      <w:r w:rsidRPr="002E64B2">
        <w:rPr>
          <w:rFonts w:cs="Times New Roman"/>
          <w:szCs w:val="28"/>
        </w:rPr>
        <w:t>млрд</w:t>
      </w:r>
      <w:proofErr w:type="spellEnd"/>
      <w:r w:rsidRPr="002E64B2">
        <w:rPr>
          <w:rFonts w:cs="Times New Roman"/>
          <w:szCs w:val="28"/>
        </w:rPr>
        <w:t xml:space="preserve"> рублей.</w:t>
      </w:r>
    </w:p>
    <w:p w:rsidR="00A806B4" w:rsidRPr="00272B8D" w:rsidRDefault="00A806B4" w:rsidP="00A806B4">
      <w:pPr>
        <w:ind w:firstLine="709"/>
        <w:rPr>
          <w:rFonts w:cs="Times New Roman"/>
          <w:szCs w:val="28"/>
        </w:rPr>
      </w:pPr>
    </w:p>
    <w:p w:rsidR="00E044B3" w:rsidRDefault="00E044B3" w:rsidP="005F0F0C">
      <w:pPr>
        <w:ind w:firstLine="709"/>
        <w:rPr>
          <w:rFonts w:cs="Times New Roman"/>
          <w:szCs w:val="28"/>
        </w:rPr>
      </w:pPr>
    </w:p>
    <w:p w:rsidR="00BE2F79" w:rsidRPr="004478C6" w:rsidRDefault="00E044B3" w:rsidP="004478C6">
      <w:pPr>
        <w:rPr>
          <w:rFonts w:cs="Times New Roman"/>
          <w:szCs w:val="28"/>
        </w:rPr>
      </w:pPr>
      <w:r w:rsidRPr="00E044B3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9895" cy="1757238"/>
            <wp:effectExtent l="19050" t="0" r="31805" b="0"/>
            <wp:docPr id="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42C7E" w:rsidRDefault="00B42C7E" w:rsidP="00BE2F79"/>
    <w:p w:rsidR="00B42C7E" w:rsidRDefault="00CC1882" w:rsidP="00BE2F79">
      <w:r w:rsidRPr="00CC1882">
        <w:rPr>
          <w:noProof/>
          <w:lang w:eastAsia="ru-RU"/>
        </w:rPr>
        <w:drawing>
          <wp:inline distT="0" distB="0" distL="0" distR="0">
            <wp:extent cx="5935980" cy="3861187"/>
            <wp:effectExtent l="57150" t="19050" r="45720" b="5963"/>
            <wp:docPr id="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42C7E" w:rsidRDefault="00B42C7E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</w:rPr>
      </w:pPr>
    </w:p>
    <w:p w:rsidR="00F100E2" w:rsidRDefault="00F100E2" w:rsidP="004E40B4">
      <w:pPr>
        <w:rPr>
          <w:szCs w:val="28"/>
          <w:lang w:val="en-US"/>
        </w:rPr>
      </w:pPr>
    </w:p>
    <w:p w:rsidR="00FE40F9" w:rsidRDefault="00FE40F9" w:rsidP="004E40B4">
      <w:pPr>
        <w:rPr>
          <w:szCs w:val="28"/>
          <w:lang w:val="en-US"/>
        </w:rPr>
      </w:pPr>
    </w:p>
    <w:p w:rsidR="00FE40F9" w:rsidRDefault="00FE40F9" w:rsidP="004E40B4">
      <w:pPr>
        <w:rPr>
          <w:szCs w:val="28"/>
        </w:rPr>
      </w:pPr>
    </w:p>
    <w:p w:rsidR="00F079CC" w:rsidRDefault="00F079CC" w:rsidP="004E40B4">
      <w:pPr>
        <w:rPr>
          <w:szCs w:val="28"/>
        </w:rPr>
      </w:pPr>
    </w:p>
    <w:p w:rsidR="00F079CC" w:rsidRPr="00F079CC" w:rsidRDefault="00F079CC" w:rsidP="004E40B4">
      <w:pPr>
        <w:rPr>
          <w:szCs w:val="28"/>
        </w:rPr>
      </w:pPr>
    </w:p>
    <w:p w:rsidR="00B42C7E" w:rsidRDefault="00B42C7E" w:rsidP="00F93EE2">
      <w:pPr>
        <w:ind w:firstLine="709"/>
        <w:rPr>
          <w:szCs w:val="28"/>
        </w:rPr>
      </w:pPr>
    </w:p>
    <w:tbl>
      <w:tblPr>
        <w:tblpPr w:leftFromText="180" w:rightFromText="180" w:vertAnchor="text" w:horzAnchor="margin" w:tblpY="-43"/>
        <w:tblW w:w="5000" w:type="pct"/>
        <w:tblLook w:val="04A0"/>
      </w:tblPr>
      <w:tblGrid>
        <w:gridCol w:w="9570"/>
      </w:tblGrid>
      <w:tr w:rsidR="00B42C7E" w:rsidRPr="00AD5F6A" w:rsidTr="00B42C7E">
        <w:trPr>
          <w:trHeight w:val="56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000000" w:fill="008284"/>
            <w:vAlign w:val="center"/>
            <w:hideMark/>
          </w:tcPr>
          <w:p w:rsidR="00B42C7E" w:rsidRPr="00AD5F6A" w:rsidRDefault="00B42C7E" w:rsidP="00B77375">
            <w:pPr>
              <w:ind w:right="33"/>
              <w:jc w:val="center"/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</w:pPr>
            <w:r w:rsidRPr="00AD5F6A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lastRenderedPageBreak/>
              <w:t>Тенденции основных показателей социально-экономического развития области за январь-</w:t>
            </w:r>
            <w:r w:rsidR="00B77375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>декабрь</w:t>
            </w:r>
            <w:r w:rsidRPr="00AD5F6A">
              <w:rPr>
                <w:rFonts w:eastAsia="Times New Roman" w:cs="Times New Roman"/>
                <w:b/>
                <w:bCs/>
                <w:color w:val="FFFFFF"/>
                <w:szCs w:val="28"/>
                <w:lang w:eastAsia="ru-RU"/>
              </w:rPr>
              <w:t xml:space="preserve"> 2019 года</w:t>
            </w:r>
          </w:p>
        </w:tc>
      </w:tr>
    </w:tbl>
    <w:p w:rsidR="00B42C7E" w:rsidRPr="00AD5F6A" w:rsidRDefault="00B42C7E" w:rsidP="004E40B4">
      <w:pPr>
        <w:rPr>
          <w:szCs w:val="28"/>
        </w:rPr>
      </w:pPr>
    </w:p>
    <w:tbl>
      <w:tblPr>
        <w:tblW w:w="5000" w:type="pct"/>
        <w:tblLook w:val="04A0"/>
      </w:tblPr>
      <w:tblGrid>
        <w:gridCol w:w="5593"/>
        <w:gridCol w:w="1916"/>
        <w:gridCol w:w="2061"/>
      </w:tblGrid>
      <w:tr w:rsidR="000B5ADE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0B5ADE" w:rsidRPr="00AD5F6A" w:rsidRDefault="001C381E" w:rsidP="00654DA0">
            <w:pPr>
              <w:ind w:firstLine="32"/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Тенденция показателя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noWrap/>
          </w:tcPr>
          <w:p w:rsidR="000B5ADE" w:rsidRPr="00AD5F6A" w:rsidRDefault="001C381E" w:rsidP="00654DA0">
            <w:pPr>
              <w:ind w:firstLine="32"/>
              <w:jc w:val="center"/>
              <w:rPr>
                <w:rFonts w:eastAsia="Times New Roman" w:cs="Times New Roman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sz w:val="25"/>
                <w:szCs w:val="25"/>
                <w:lang w:eastAsia="ru-RU"/>
              </w:rPr>
              <w:t>Состояние</w:t>
            </w:r>
          </w:p>
        </w:tc>
        <w:tc>
          <w:tcPr>
            <w:tcW w:w="1077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C381E" w:rsidRPr="00AD5F6A" w:rsidRDefault="001C381E" w:rsidP="00654DA0">
            <w:pPr>
              <w:ind w:firstLine="32"/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К январю-декабрю</w:t>
            </w:r>
          </w:p>
          <w:p w:rsidR="000B5ADE" w:rsidRPr="00AD5F6A" w:rsidRDefault="001C381E" w:rsidP="00654DA0">
            <w:pPr>
              <w:ind w:firstLine="32"/>
              <w:jc w:val="center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2018 года</w:t>
            </w:r>
          </w:p>
        </w:tc>
      </w:tr>
      <w:tr w:rsidR="000B5ADE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0B5ADE" w:rsidRPr="00AD5F6A" w:rsidRDefault="001C381E" w:rsidP="00654DA0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val="en-US"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val="en-US" w:eastAsia="ru-RU"/>
              </w:rPr>
              <w:t>Рост объема промышленного производства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B5ADE" w:rsidRPr="00AD5F6A" w:rsidRDefault="001C381E" w:rsidP="009C124D">
            <w:pPr>
              <w:ind w:firstLine="36"/>
              <w:jc w:val="center"/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B5ADE" w:rsidRPr="00AD5F6A" w:rsidRDefault="003A6B04" w:rsidP="00DD6E53">
            <w:pPr>
              <w:ind w:left="4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104</w:t>
            </w:r>
          </w:p>
        </w:tc>
      </w:tr>
      <w:tr w:rsidR="000B5ADE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0B5ADE" w:rsidRPr="00AD5F6A" w:rsidRDefault="00634784" w:rsidP="00654DA0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Рост </w:t>
            </w:r>
            <w:r w:rsidR="001C381E"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сельскохозяйственного производства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B5ADE" w:rsidRPr="00AD5F6A" w:rsidRDefault="001C381E" w:rsidP="00654DA0">
            <w:pPr>
              <w:jc w:val="center"/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0B5ADE" w:rsidRPr="00AD5F6A" w:rsidRDefault="001C381E" w:rsidP="00654DA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D5F6A">
              <w:rPr>
                <w:rFonts w:cs="Times New Roman"/>
                <w:color w:val="000000"/>
                <w:szCs w:val="28"/>
              </w:rPr>
              <w:t>100,3</w:t>
            </w:r>
          </w:p>
        </w:tc>
      </w:tr>
      <w:tr w:rsidR="00870CE7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B7737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Рост объема инвестиций в основной капитал за счет всех источников финансирования 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E736B5">
            <w:pPr>
              <w:jc w:val="center"/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3A6B04" w:rsidRDefault="003A6B04" w:rsidP="00E736B5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  <w:lang w:val="en-US"/>
              </w:rPr>
              <w:t>117</w:t>
            </w:r>
            <w:r>
              <w:rPr>
                <w:rFonts w:cs="Times New Roman"/>
                <w:color w:val="000000"/>
                <w:szCs w:val="28"/>
              </w:rPr>
              <w:t>,</w:t>
            </w:r>
            <w:r>
              <w:rPr>
                <w:rFonts w:cs="Times New Roman"/>
                <w:color w:val="000000"/>
                <w:szCs w:val="28"/>
                <w:lang w:val="en-US"/>
              </w:rPr>
              <w:t>7</w:t>
            </w:r>
          </w:p>
        </w:tc>
      </w:tr>
      <w:tr w:rsidR="00870CE7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E736B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Рост потребительских цен (к декабрю 2018 года)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E736B5">
            <w:pPr>
              <w:jc w:val="center"/>
              <w:rPr>
                <w:rFonts w:ascii="Wingdings" w:hAnsi="Wingdings" w:cs="Times New Roman"/>
                <w:b/>
                <w:color w:val="FF0000"/>
                <w:sz w:val="36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FF0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77599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D5F6A">
              <w:rPr>
                <w:rFonts w:cs="Times New Roman"/>
                <w:color w:val="000000"/>
                <w:szCs w:val="28"/>
              </w:rPr>
              <w:t>104</w:t>
            </w:r>
          </w:p>
        </w:tc>
      </w:tr>
      <w:tr w:rsidR="00870CE7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Рост реальной среднемесячной заработной платы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904E33" w:rsidP="00654DA0">
            <w:pPr>
              <w:jc w:val="center"/>
              <w:rPr>
                <w:rFonts w:cs="Times New Roman"/>
                <w:color w:val="000000"/>
                <w:sz w:val="25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77599B" w:rsidP="00654DA0">
            <w:pPr>
              <w:jc w:val="center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color w:val="000000"/>
                <w:szCs w:val="28"/>
              </w:rPr>
              <w:t>103,5</w:t>
            </w:r>
          </w:p>
        </w:tc>
      </w:tr>
      <w:tr w:rsidR="00870CE7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Значение официально зарегистрированной безработицы (на конец периода)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jc w:val="center"/>
              <w:rPr>
                <w:rFonts w:cs="Times New Roman"/>
                <w:color w:val="000000"/>
                <w:sz w:val="25"/>
                <w:szCs w:val="36"/>
              </w:rPr>
            </w:pPr>
            <w:r w:rsidRPr="00AD5F6A">
              <w:rPr>
                <w:rFonts w:cs="Times New Roman"/>
                <w:color w:val="000000"/>
                <w:sz w:val="25"/>
                <w:szCs w:val="36"/>
              </w:rPr>
              <w:t>на уровне прошлого года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D5F6A">
              <w:rPr>
                <w:rFonts w:cs="Times New Roman"/>
                <w:color w:val="000000"/>
                <w:szCs w:val="28"/>
              </w:rPr>
              <w:t>1,6</w:t>
            </w:r>
          </w:p>
        </w:tc>
      </w:tr>
      <w:tr w:rsidR="00870CE7" w:rsidRPr="00AD5F6A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E736B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Рост оборота розничной торговли </w:t>
            </w:r>
          </w:p>
          <w:p w:rsidR="00870CE7" w:rsidRPr="00AD5F6A" w:rsidRDefault="00870CE7" w:rsidP="00E736B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(в сопоставимых ценах)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jc w:val="center"/>
              <w:rPr>
                <w:rFonts w:cs="Times New Roman"/>
                <w:color w:val="000000"/>
                <w:sz w:val="25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D5F6A">
              <w:rPr>
                <w:rFonts w:cs="Times New Roman"/>
                <w:color w:val="000000"/>
                <w:szCs w:val="28"/>
              </w:rPr>
              <w:t>100,1</w:t>
            </w:r>
          </w:p>
        </w:tc>
      </w:tr>
      <w:tr w:rsidR="00870CE7" w:rsidRPr="009032B8" w:rsidTr="00554FFF">
        <w:trPr>
          <w:trHeight w:val="851"/>
        </w:trPr>
        <w:tc>
          <w:tcPr>
            <w:tcW w:w="2922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nil"/>
            </w:tcBorders>
            <w:shd w:val="clear" w:color="auto" w:fill="auto"/>
            <w:vAlign w:val="center"/>
          </w:tcPr>
          <w:p w:rsidR="00870CE7" w:rsidRPr="00AD5F6A" w:rsidRDefault="00870CE7" w:rsidP="00E736B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>Рост объема платных услуг населению</w:t>
            </w:r>
          </w:p>
          <w:p w:rsidR="00870CE7" w:rsidRPr="00AD5F6A" w:rsidRDefault="00870CE7" w:rsidP="00E736B5">
            <w:pPr>
              <w:ind w:firstLine="32"/>
              <w:jc w:val="left"/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</w:pPr>
            <w:r w:rsidRPr="00AD5F6A">
              <w:rPr>
                <w:rFonts w:eastAsia="Times New Roman" w:cs="Times New Roman"/>
                <w:color w:val="000000"/>
                <w:sz w:val="25"/>
                <w:szCs w:val="25"/>
                <w:lang w:eastAsia="ru-RU"/>
              </w:rPr>
              <w:t xml:space="preserve"> (в сопоставимых ценах)</w:t>
            </w:r>
          </w:p>
        </w:tc>
        <w:tc>
          <w:tcPr>
            <w:tcW w:w="1001" w:type="pct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AD5F6A" w:rsidRDefault="00870CE7" w:rsidP="00654DA0">
            <w:pPr>
              <w:jc w:val="center"/>
              <w:rPr>
                <w:rFonts w:ascii="Wingdings" w:hAnsi="Wingdings" w:cs="Times New Roman"/>
                <w:b/>
                <w:color w:val="FF0000"/>
                <w:sz w:val="36"/>
                <w:szCs w:val="36"/>
              </w:rPr>
            </w:pPr>
            <w:r w:rsidRPr="00AD5F6A">
              <w:rPr>
                <w:rFonts w:ascii="Wingdings" w:hAnsi="Wingdings" w:cs="Times New Roman"/>
                <w:b/>
                <w:color w:val="008000"/>
                <w:sz w:val="36"/>
                <w:szCs w:val="36"/>
              </w:rPr>
              <w:t></w:t>
            </w:r>
          </w:p>
        </w:tc>
        <w:tc>
          <w:tcPr>
            <w:tcW w:w="1077" w:type="pct"/>
            <w:tcBorders>
              <w:top w:val="single" w:sz="4" w:space="0" w:color="008080"/>
              <w:left w:val="nil"/>
              <w:bottom w:val="single" w:sz="4" w:space="0" w:color="008080"/>
              <w:right w:val="single" w:sz="4" w:space="0" w:color="008080"/>
            </w:tcBorders>
            <w:shd w:val="clear" w:color="auto" w:fill="auto"/>
            <w:vAlign w:val="center"/>
          </w:tcPr>
          <w:p w:rsidR="00870CE7" w:rsidRPr="000B5ADE" w:rsidRDefault="00870CE7" w:rsidP="00654DA0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D5F6A">
              <w:rPr>
                <w:rFonts w:cs="Times New Roman"/>
                <w:color w:val="000000"/>
                <w:szCs w:val="28"/>
              </w:rPr>
              <w:t>100,</w:t>
            </w:r>
            <w:r w:rsidR="003A6B04">
              <w:rPr>
                <w:rFonts w:cs="Times New Roman"/>
                <w:color w:val="000000"/>
                <w:szCs w:val="28"/>
              </w:rPr>
              <w:t>8</w:t>
            </w:r>
          </w:p>
        </w:tc>
      </w:tr>
    </w:tbl>
    <w:p w:rsidR="00F27A55" w:rsidRPr="00F57143" w:rsidRDefault="00F27A55" w:rsidP="00FF5F09"/>
    <w:sectPr w:rsidR="00F27A55" w:rsidRPr="00F57143" w:rsidSect="00125D10">
      <w:headerReference w:type="even" r:id="rId19"/>
      <w:headerReference w:type="default" r:id="rId20"/>
      <w:footerReference w:type="even" r:id="rId21"/>
      <w:footerReference w:type="default" r:id="rId22"/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483" w:rsidRDefault="00F56483">
      <w:r>
        <w:separator/>
      </w:r>
    </w:p>
  </w:endnote>
  <w:endnote w:type="continuationSeparator" w:id="0">
    <w:p w:rsidR="00F56483" w:rsidRDefault="00F564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DDB" w:rsidRDefault="001529C2" w:rsidP="00654DA0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00DD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C00DDB" w:rsidRDefault="00C00DD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DDB" w:rsidRPr="00884B5D" w:rsidRDefault="00C00DDB" w:rsidP="00F114FA">
    <w:pPr>
      <w:pStyle w:val="a9"/>
      <w:jc w:val="center"/>
      <w:rPr>
        <w:sz w:val="20"/>
        <w:szCs w:val="20"/>
      </w:rPr>
    </w:pPr>
    <w:r w:rsidRPr="00884B5D">
      <w:rPr>
        <w:sz w:val="20"/>
        <w:szCs w:val="20"/>
      </w:rPr>
      <w:t xml:space="preserve">Информация об основных результатах экономической деятельности, уровне жизни населения </w:t>
    </w:r>
    <w:r>
      <w:rPr>
        <w:sz w:val="20"/>
        <w:szCs w:val="20"/>
      </w:rPr>
      <w:t>Мурманской области за январь-</w:t>
    </w:r>
    <w:r w:rsidR="00C164E8">
      <w:rPr>
        <w:sz w:val="20"/>
        <w:szCs w:val="20"/>
      </w:rPr>
      <w:t>ноябрь</w:t>
    </w:r>
    <w:r w:rsidRPr="00884B5D">
      <w:rPr>
        <w:sz w:val="20"/>
        <w:szCs w:val="20"/>
      </w:rPr>
      <w:t xml:space="preserve"> и оценке основных показателей за январь-декабрь 2019 года </w:t>
    </w:r>
  </w:p>
  <w:p w:rsidR="00C00DDB" w:rsidRPr="008419F0" w:rsidRDefault="001529C2" w:rsidP="00F114FA">
    <w:pPr>
      <w:pStyle w:val="a9"/>
      <w:jc w:val="center"/>
      <w:rPr>
        <w:sz w:val="20"/>
        <w:szCs w:val="20"/>
        <w:lang w:val="en-US"/>
      </w:rPr>
    </w:pPr>
    <w:r w:rsidRPr="008419F0">
      <w:rPr>
        <w:sz w:val="20"/>
        <w:szCs w:val="20"/>
        <w:lang w:val="en-US"/>
      </w:rPr>
      <w:fldChar w:fldCharType="begin"/>
    </w:r>
    <w:r w:rsidR="00C00DDB" w:rsidRPr="008419F0">
      <w:rPr>
        <w:sz w:val="20"/>
        <w:szCs w:val="20"/>
        <w:lang w:val="en-US"/>
      </w:rPr>
      <w:instrText>PAGE   \* MERGEFORMAT</w:instrText>
    </w:r>
    <w:r w:rsidRPr="008419F0">
      <w:rPr>
        <w:sz w:val="20"/>
        <w:szCs w:val="20"/>
        <w:lang w:val="en-US"/>
      </w:rPr>
      <w:fldChar w:fldCharType="separate"/>
    </w:r>
    <w:r w:rsidR="00FF62A6">
      <w:rPr>
        <w:noProof/>
        <w:sz w:val="20"/>
        <w:szCs w:val="20"/>
        <w:lang w:val="en-US"/>
      </w:rPr>
      <w:t>16</w:t>
    </w:r>
    <w:r w:rsidRPr="008419F0">
      <w:rPr>
        <w:sz w:val="20"/>
        <w:szCs w:val="20"/>
        <w:lang w:val="en-US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483" w:rsidRDefault="00F56483">
      <w:r>
        <w:separator/>
      </w:r>
    </w:p>
  </w:footnote>
  <w:footnote w:type="continuationSeparator" w:id="0">
    <w:p w:rsidR="00F56483" w:rsidRDefault="00F564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DDB" w:rsidRDefault="001529C2" w:rsidP="00654DA0">
    <w:pPr>
      <w:pStyle w:val="a3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C00DD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C00DDB" w:rsidRDefault="00C00DD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4E8" w:rsidRDefault="00C164E8" w:rsidP="00C164E8">
    <w:pPr>
      <w:pStyle w:val="a3"/>
      <w:tabs>
        <w:tab w:val="clear" w:pos="4677"/>
        <w:tab w:val="clear" w:pos="9355"/>
        <w:tab w:val="left" w:pos="358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E0B5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60B3A8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doNotUseMarginsForDrawingGridOrigin/>
  <w:drawingGridVerticalOrigin w:val="851"/>
  <w:characterSpacingControl w:val="doNotCompress"/>
  <w:hdrShapeDefaults>
    <o:shapedefaults v:ext="edit" spidmax="175106"/>
  </w:hdrShapeDefaults>
  <w:footnotePr>
    <w:footnote w:id="-1"/>
    <w:footnote w:id="0"/>
  </w:footnotePr>
  <w:endnotePr>
    <w:endnote w:id="-1"/>
    <w:endnote w:id="0"/>
  </w:endnotePr>
  <w:compat/>
  <w:rsids>
    <w:rsidRoot w:val="00F27A55"/>
    <w:rsid w:val="00002CDD"/>
    <w:rsid w:val="00004F10"/>
    <w:rsid w:val="000058B8"/>
    <w:rsid w:val="00006641"/>
    <w:rsid w:val="00010CCA"/>
    <w:rsid w:val="00011108"/>
    <w:rsid w:val="0001154B"/>
    <w:rsid w:val="0001231E"/>
    <w:rsid w:val="000126F1"/>
    <w:rsid w:val="00012749"/>
    <w:rsid w:val="000144AD"/>
    <w:rsid w:val="0001452D"/>
    <w:rsid w:val="000152EC"/>
    <w:rsid w:val="000161DE"/>
    <w:rsid w:val="0001708E"/>
    <w:rsid w:val="000205E2"/>
    <w:rsid w:val="00021918"/>
    <w:rsid w:val="00023A9B"/>
    <w:rsid w:val="00025A0E"/>
    <w:rsid w:val="00026C8C"/>
    <w:rsid w:val="0002793B"/>
    <w:rsid w:val="0003056A"/>
    <w:rsid w:val="00033F08"/>
    <w:rsid w:val="00033FC2"/>
    <w:rsid w:val="00037EE9"/>
    <w:rsid w:val="00037FE8"/>
    <w:rsid w:val="00043505"/>
    <w:rsid w:val="000438D1"/>
    <w:rsid w:val="0004502C"/>
    <w:rsid w:val="00045674"/>
    <w:rsid w:val="0004572E"/>
    <w:rsid w:val="00046608"/>
    <w:rsid w:val="00046A89"/>
    <w:rsid w:val="00047856"/>
    <w:rsid w:val="00052B66"/>
    <w:rsid w:val="000542D7"/>
    <w:rsid w:val="00054FC7"/>
    <w:rsid w:val="000560E8"/>
    <w:rsid w:val="00057212"/>
    <w:rsid w:val="000573E4"/>
    <w:rsid w:val="00057580"/>
    <w:rsid w:val="000619A7"/>
    <w:rsid w:val="000627AC"/>
    <w:rsid w:val="00063DBA"/>
    <w:rsid w:val="00064D9C"/>
    <w:rsid w:val="00065CE2"/>
    <w:rsid w:val="00065D74"/>
    <w:rsid w:val="00066A7A"/>
    <w:rsid w:val="00067549"/>
    <w:rsid w:val="00067689"/>
    <w:rsid w:val="000679C6"/>
    <w:rsid w:val="00071B88"/>
    <w:rsid w:val="000739D6"/>
    <w:rsid w:val="00073B7E"/>
    <w:rsid w:val="00073BF4"/>
    <w:rsid w:val="000753AD"/>
    <w:rsid w:val="00075432"/>
    <w:rsid w:val="000758E4"/>
    <w:rsid w:val="00075970"/>
    <w:rsid w:val="000806CB"/>
    <w:rsid w:val="00081634"/>
    <w:rsid w:val="0008186D"/>
    <w:rsid w:val="00081C90"/>
    <w:rsid w:val="00082649"/>
    <w:rsid w:val="00082652"/>
    <w:rsid w:val="000831C9"/>
    <w:rsid w:val="00084B6B"/>
    <w:rsid w:val="00084F41"/>
    <w:rsid w:val="00085175"/>
    <w:rsid w:val="000864C3"/>
    <w:rsid w:val="00086DEC"/>
    <w:rsid w:val="000909D8"/>
    <w:rsid w:val="00091CF7"/>
    <w:rsid w:val="00092E7A"/>
    <w:rsid w:val="000939EB"/>
    <w:rsid w:val="00095562"/>
    <w:rsid w:val="000A00BA"/>
    <w:rsid w:val="000A012C"/>
    <w:rsid w:val="000A0164"/>
    <w:rsid w:val="000A089D"/>
    <w:rsid w:val="000A127E"/>
    <w:rsid w:val="000A1288"/>
    <w:rsid w:val="000A1950"/>
    <w:rsid w:val="000A2820"/>
    <w:rsid w:val="000A48C3"/>
    <w:rsid w:val="000A60D6"/>
    <w:rsid w:val="000A6456"/>
    <w:rsid w:val="000B0525"/>
    <w:rsid w:val="000B11BA"/>
    <w:rsid w:val="000B4697"/>
    <w:rsid w:val="000B5203"/>
    <w:rsid w:val="000B5ADE"/>
    <w:rsid w:val="000B6668"/>
    <w:rsid w:val="000B7999"/>
    <w:rsid w:val="000C0407"/>
    <w:rsid w:val="000C125A"/>
    <w:rsid w:val="000C3938"/>
    <w:rsid w:val="000C4637"/>
    <w:rsid w:val="000C4B80"/>
    <w:rsid w:val="000C60DC"/>
    <w:rsid w:val="000C7596"/>
    <w:rsid w:val="000D5E46"/>
    <w:rsid w:val="000D6216"/>
    <w:rsid w:val="000D69D1"/>
    <w:rsid w:val="000E1BEF"/>
    <w:rsid w:val="000E2290"/>
    <w:rsid w:val="000E2C96"/>
    <w:rsid w:val="000E47E0"/>
    <w:rsid w:val="000E7211"/>
    <w:rsid w:val="000E7D48"/>
    <w:rsid w:val="000F4CD5"/>
    <w:rsid w:val="000F4F52"/>
    <w:rsid w:val="00100685"/>
    <w:rsid w:val="001027D1"/>
    <w:rsid w:val="0010318E"/>
    <w:rsid w:val="00104014"/>
    <w:rsid w:val="0010525A"/>
    <w:rsid w:val="00106E62"/>
    <w:rsid w:val="001113CF"/>
    <w:rsid w:val="00111AAB"/>
    <w:rsid w:val="0011286D"/>
    <w:rsid w:val="001133B2"/>
    <w:rsid w:val="00113BE6"/>
    <w:rsid w:val="001160EE"/>
    <w:rsid w:val="001211D1"/>
    <w:rsid w:val="00122F6C"/>
    <w:rsid w:val="00123AE9"/>
    <w:rsid w:val="00125D10"/>
    <w:rsid w:val="0012644A"/>
    <w:rsid w:val="001268A9"/>
    <w:rsid w:val="001316D3"/>
    <w:rsid w:val="001344C0"/>
    <w:rsid w:val="00140198"/>
    <w:rsid w:val="00141F18"/>
    <w:rsid w:val="0014345A"/>
    <w:rsid w:val="00143A07"/>
    <w:rsid w:val="00143AB9"/>
    <w:rsid w:val="00146A11"/>
    <w:rsid w:val="00147A66"/>
    <w:rsid w:val="0015083C"/>
    <w:rsid w:val="00152106"/>
    <w:rsid w:val="00152352"/>
    <w:rsid w:val="001529C2"/>
    <w:rsid w:val="00154CF3"/>
    <w:rsid w:val="00157DA2"/>
    <w:rsid w:val="00160010"/>
    <w:rsid w:val="00160494"/>
    <w:rsid w:val="001605FC"/>
    <w:rsid w:val="001629F4"/>
    <w:rsid w:val="00164896"/>
    <w:rsid w:val="001650B7"/>
    <w:rsid w:val="0016658E"/>
    <w:rsid w:val="00166ADD"/>
    <w:rsid w:val="00170984"/>
    <w:rsid w:val="001711C8"/>
    <w:rsid w:val="00171475"/>
    <w:rsid w:val="00171624"/>
    <w:rsid w:val="0017197C"/>
    <w:rsid w:val="0017268D"/>
    <w:rsid w:val="00174027"/>
    <w:rsid w:val="001742ED"/>
    <w:rsid w:val="001778B8"/>
    <w:rsid w:val="00181C28"/>
    <w:rsid w:val="00182087"/>
    <w:rsid w:val="00183D75"/>
    <w:rsid w:val="001857D8"/>
    <w:rsid w:val="00185D20"/>
    <w:rsid w:val="00186672"/>
    <w:rsid w:val="00186706"/>
    <w:rsid w:val="001906BD"/>
    <w:rsid w:val="00192B1E"/>
    <w:rsid w:val="001959F7"/>
    <w:rsid w:val="00195B72"/>
    <w:rsid w:val="00197B9E"/>
    <w:rsid w:val="00197DAA"/>
    <w:rsid w:val="00197DCF"/>
    <w:rsid w:val="001A49C5"/>
    <w:rsid w:val="001B0540"/>
    <w:rsid w:val="001B4DD5"/>
    <w:rsid w:val="001C10D5"/>
    <w:rsid w:val="001C1461"/>
    <w:rsid w:val="001C381E"/>
    <w:rsid w:val="001C4458"/>
    <w:rsid w:val="001C4696"/>
    <w:rsid w:val="001C7589"/>
    <w:rsid w:val="001D4FAE"/>
    <w:rsid w:val="001D7F4D"/>
    <w:rsid w:val="001E04A3"/>
    <w:rsid w:val="001E0E81"/>
    <w:rsid w:val="001E1317"/>
    <w:rsid w:val="001E154D"/>
    <w:rsid w:val="001E2179"/>
    <w:rsid w:val="001E23F1"/>
    <w:rsid w:val="001E3584"/>
    <w:rsid w:val="001E5000"/>
    <w:rsid w:val="001E5789"/>
    <w:rsid w:val="001E659D"/>
    <w:rsid w:val="001E69F7"/>
    <w:rsid w:val="001E6B0B"/>
    <w:rsid w:val="001E7E84"/>
    <w:rsid w:val="001F1EAC"/>
    <w:rsid w:val="001F56A0"/>
    <w:rsid w:val="001F590F"/>
    <w:rsid w:val="001F683D"/>
    <w:rsid w:val="002028C0"/>
    <w:rsid w:val="00202BC3"/>
    <w:rsid w:val="00203D24"/>
    <w:rsid w:val="002078B1"/>
    <w:rsid w:val="00207ACD"/>
    <w:rsid w:val="00210852"/>
    <w:rsid w:val="00210EE6"/>
    <w:rsid w:val="002133F7"/>
    <w:rsid w:val="002136DD"/>
    <w:rsid w:val="00214A47"/>
    <w:rsid w:val="002168C2"/>
    <w:rsid w:val="002174C1"/>
    <w:rsid w:val="0022080E"/>
    <w:rsid w:val="00221391"/>
    <w:rsid w:val="002238A2"/>
    <w:rsid w:val="002304B2"/>
    <w:rsid w:val="00233CA8"/>
    <w:rsid w:val="00236CFC"/>
    <w:rsid w:val="00241241"/>
    <w:rsid w:val="002450BD"/>
    <w:rsid w:val="002457AE"/>
    <w:rsid w:val="002477C2"/>
    <w:rsid w:val="00251ADA"/>
    <w:rsid w:val="0025275F"/>
    <w:rsid w:val="00252907"/>
    <w:rsid w:val="00253D56"/>
    <w:rsid w:val="00254ED3"/>
    <w:rsid w:val="00260520"/>
    <w:rsid w:val="002609D3"/>
    <w:rsid w:val="00262BE2"/>
    <w:rsid w:val="00264053"/>
    <w:rsid w:val="00266189"/>
    <w:rsid w:val="002706E0"/>
    <w:rsid w:val="00273654"/>
    <w:rsid w:val="00273E5F"/>
    <w:rsid w:val="00274E8F"/>
    <w:rsid w:val="0027614D"/>
    <w:rsid w:val="002767D3"/>
    <w:rsid w:val="00277058"/>
    <w:rsid w:val="002800A5"/>
    <w:rsid w:val="00280DC7"/>
    <w:rsid w:val="00282FE4"/>
    <w:rsid w:val="00283998"/>
    <w:rsid w:val="00284868"/>
    <w:rsid w:val="00285489"/>
    <w:rsid w:val="00285FF4"/>
    <w:rsid w:val="0028612F"/>
    <w:rsid w:val="00290E8A"/>
    <w:rsid w:val="0029170F"/>
    <w:rsid w:val="00292599"/>
    <w:rsid w:val="00294251"/>
    <w:rsid w:val="00294680"/>
    <w:rsid w:val="0029488B"/>
    <w:rsid w:val="00294FE6"/>
    <w:rsid w:val="00297CB4"/>
    <w:rsid w:val="002A0678"/>
    <w:rsid w:val="002A170E"/>
    <w:rsid w:val="002A32CB"/>
    <w:rsid w:val="002A3C6E"/>
    <w:rsid w:val="002A5153"/>
    <w:rsid w:val="002A5F41"/>
    <w:rsid w:val="002A76A7"/>
    <w:rsid w:val="002A7D34"/>
    <w:rsid w:val="002B0E4A"/>
    <w:rsid w:val="002B39E9"/>
    <w:rsid w:val="002B625B"/>
    <w:rsid w:val="002B7021"/>
    <w:rsid w:val="002B7090"/>
    <w:rsid w:val="002B7D85"/>
    <w:rsid w:val="002C0723"/>
    <w:rsid w:val="002C091D"/>
    <w:rsid w:val="002C0FE8"/>
    <w:rsid w:val="002C2C87"/>
    <w:rsid w:val="002C2FE9"/>
    <w:rsid w:val="002C57ED"/>
    <w:rsid w:val="002C7B0E"/>
    <w:rsid w:val="002C7C3B"/>
    <w:rsid w:val="002D179D"/>
    <w:rsid w:val="002D1A5C"/>
    <w:rsid w:val="002D213B"/>
    <w:rsid w:val="002D4D4E"/>
    <w:rsid w:val="002D5459"/>
    <w:rsid w:val="002D798C"/>
    <w:rsid w:val="002E0B35"/>
    <w:rsid w:val="002E0E9D"/>
    <w:rsid w:val="002E16EB"/>
    <w:rsid w:val="002E33DF"/>
    <w:rsid w:val="002E3846"/>
    <w:rsid w:val="002E47F9"/>
    <w:rsid w:val="002E492B"/>
    <w:rsid w:val="002E4E8D"/>
    <w:rsid w:val="002E64B2"/>
    <w:rsid w:val="002E6E9A"/>
    <w:rsid w:val="002E7CF3"/>
    <w:rsid w:val="002F0B22"/>
    <w:rsid w:val="002F5178"/>
    <w:rsid w:val="002F604E"/>
    <w:rsid w:val="002F762F"/>
    <w:rsid w:val="00300C05"/>
    <w:rsid w:val="00302138"/>
    <w:rsid w:val="00302D34"/>
    <w:rsid w:val="003059D2"/>
    <w:rsid w:val="003063B0"/>
    <w:rsid w:val="0030701C"/>
    <w:rsid w:val="00310B14"/>
    <w:rsid w:val="00311C1B"/>
    <w:rsid w:val="003122DE"/>
    <w:rsid w:val="00313E7D"/>
    <w:rsid w:val="00314442"/>
    <w:rsid w:val="00321996"/>
    <w:rsid w:val="00321DDE"/>
    <w:rsid w:val="003237BF"/>
    <w:rsid w:val="003248B1"/>
    <w:rsid w:val="00324BC9"/>
    <w:rsid w:val="00325A07"/>
    <w:rsid w:val="00326111"/>
    <w:rsid w:val="003331D3"/>
    <w:rsid w:val="00333353"/>
    <w:rsid w:val="00334CE5"/>
    <w:rsid w:val="003356C6"/>
    <w:rsid w:val="003364F1"/>
    <w:rsid w:val="003400A2"/>
    <w:rsid w:val="003405C2"/>
    <w:rsid w:val="00341D6F"/>
    <w:rsid w:val="00341EDC"/>
    <w:rsid w:val="00341F30"/>
    <w:rsid w:val="00342AAA"/>
    <w:rsid w:val="00343F7A"/>
    <w:rsid w:val="003451AB"/>
    <w:rsid w:val="0035036E"/>
    <w:rsid w:val="0035044B"/>
    <w:rsid w:val="0035061F"/>
    <w:rsid w:val="00351C47"/>
    <w:rsid w:val="00352DB0"/>
    <w:rsid w:val="0035431E"/>
    <w:rsid w:val="003556AD"/>
    <w:rsid w:val="00356330"/>
    <w:rsid w:val="003570A5"/>
    <w:rsid w:val="003608A6"/>
    <w:rsid w:val="00360D15"/>
    <w:rsid w:val="003620B9"/>
    <w:rsid w:val="00362AE0"/>
    <w:rsid w:val="003632E2"/>
    <w:rsid w:val="0036396B"/>
    <w:rsid w:val="00363B7A"/>
    <w:rsid w:val="00370A04"/>
    <w:rsid w:val="003717DD"/>
    <w:rsid w:val="00372AEB"/>
    <w:rsid w:val="00376F63"/>
    <w:rsid w:val="0037720C"/>
    <w:rsid w:val="00377547"/>
    <w:rsid w:val="003805DE"/>
    <w:rsid w:val="0038092A"/>
    <w:rsid w:val="00380AE2"/>
    <w:rsid w:val="00381735"/>
    <w:rsid w:val="003848F8"/>
    <w:rsid w:val="00385335"/>
    <w:rsid w:val="0038640D"/>
    <w:rsid w:val="00386E13"/>
    <w:rsid w:val="0038761C"/>
    <w:rsid w:val="00390DEE"/>
    <w:rsid w:val="00390F1D"/>
    <w:rsid w:val="00391435"/>
    <w:rsid w:val="00392E2C"/>
    <w:rsid w:val="003932F6"/>
    <w:rsid w:val="00396A43"/>
    <w:rsid w:val="003A080C"/>
    <w:rsid w:val="003A1403"/>
    <w:rsid w:val="003A1D06"/>
    <w:rsid w:val="003A2E26"/>
    <w:rsid w:val="003A2E98"/>
    <w:rsid w:val="003A508A"/>
    <w:rsid w:val="003A5540"/>
    <w:rsid w:val="003A5F57"/>
    <w:rsid w:val="003A6B04"/>
    <w:rsid w:val="003A7050"/>
    <w:rsid w:val="003A7410"/>
    <w:rsid w:val="003A7C47"/>
    <w:rsid w:val="003B3177"/>
    <w:rsid w:val="003B324E"/>
    <w:rsid w:val="003B38F6"/>
    <w:rsid w:val="003B4AB1"/>
    <w:rsid w:val="003B6B49"/>
    <w:rsid w:val="003B779B"/>
    <w:rsid w:val="003C345E"/>
    <w:rsid w:val="003C3EDD"/>
    <w:rsid w:val="003C3EEE"/>
    <w:rsid w:val="003C447C"/>
    <w:rsid w:val="003C73D2"/>
    <w:rsid w:val="003D2CA8"/>
    <w:rsid w:val="003D34BE"/>
    <w:rsid w:val="003D3828"/>
    <w:rsid w:val="003D3BF6"/>
    <w:rsid w:val="003D4B2C"/>
    <w:rsid w:val="003D7003"/>
    <w:rsid w:val="003E01DA"/>
    <w:rsid w:val="003E13A5"/>
    <w:rsid w:val="003E17E4"/>
    <w:rsid w:val="003E31A6"/>
    <w:rsid w:val="003E45A4"/>
    <w:rsid w:val="003E45AF"/>
    <w:rsid w:val="003E4C20"/>
    <w:rsid w:val="003E6189"/>
    <w:rsid w:val="003E68EA"/>
    <w:rsid w:val="003F0E8C"/>
    <w:rsid w:val="003F2898"/>
    <w:rsid w:val="003F289B"/>
    <w:rsid w:val="003F418D"/>
    <w:rsid w:val="003F4661"/>
    <w:rsid w:val="00400256"/>
    <w:rsid w:val="00402851"/>
    <w:rsid w:val="00402934"/>
    <w:rsid w:val="004042CD"/>
    <w:rsid w:val="00404D48"/>
    <w:rsid w:val="004111C4"/>
    <w:rsid w:val="00411A1F"/>
    <w:rsid w:val="004140E2"/>
    <w:rsid w:val="004142BC"/>
    <w:rsid w:val="00414E50"/>
    <w:rsid w:val="004156E4"/>
    <w:rsid w:val="0041783F"/>
    <w:rsid w:val="004202D6"/>
    <w:rsid w:val="00420D72"/>
    <w:rsid w:val="0042158C"/>
    <w:rsid w:val="0042301B"/>
    <w:rsid w:val="00426CFF"/>
    <w:rsid w:val="004303C3"/>
    <w:rsid w:val="00431A48"/>
    <w:rsid w:val="00433DEE"/>
    <w:rsid w:val="0043519E"/>
    <w:rsid w:val="00435438"/>
    <w:rsid w:val="00437974"/>
    <w:rsid w:val="00440CE2"/>
    <w:rsid w:val="004420FB"/>
    <w:rsid w:val="00442CA8"/>
    <w:rsid w:val="00443093"/>
    <w:rsid w:val="0044541C"/>
    <w:rsid w:val="004478C6"/>
    <w:rsid w:val="00447EB1"/>
    <w:rsid w:val="00453A85"/>
    <w:rsid w:val="004540DD"/>
    <w:rsid w:val="004551AE"/>
    <w:rsid w:val="004553A0"/>
    <w:rsid w:val="00455573"/>
    <w:rsid w:val="00457557"/>
    <w:rsid w:val="00460851"/>
    <w:rsid w:val="00461C7F"/>
    <w:rsid w:val="00462D8C"/>
    <w:rsid w:val="0046362C"/>
    <w:rsid w:val="0046370C"/>
    <w:rsid w:val="004701FC"/>
    <w:rsid w:val="00470905"/>
    <w:rsid w:val="00471DBB"/>
    <w:rsid w:val="00474472"/>
    <w:rsid w:val="0047478E"/>
    <w:rsid w:val="004766EB"/>
    <w:rsid w:val="00477D21"/>
    <w:rsid w:val="0048170F"/>
    <w:rsid w:val="00481A0E"/>
    <w:rsid w:val="00481C9F"/>
    <w:rsid w:val="00482C5F"/>
    <w:rsid w:val="00482C99"/>
    <w:rsid w:val="00485496"/>
    <w:rsid w:val="004856C3"/>
    <w:rsid w:val="00485DA9"/>
    <w:rsid w:val="00491A75"/>
    <w:rsid w:val="00494857"/>
    <w:rsid w:val="00496A9E"/>
    <w:rsid w:val="00496B49"/>
    <w:rsid w:val="004973E0"/>
    <w:rsid w:val="004978D4"/>
    <w:rsid w:val="00497ED6"/>
    <w:rsid w:val="004A009B"/>
    <w:rsid w:val="004A014F"/>
    <w:rsid w:val="004A3621"/>
    <w:rsid w:val="004A516B"/>
    <w:rsid w:val="004B019B"/>
    <w:rsid w:val="004B35BA"/>
    <w:rsid w:val="004B5497"/>
    <w:rsid w:val="004C0641"/>
    <w:rsid w:val="004C0873"/>
    <w:rsid w:val="004C25D4"/>
    <w:rsid w:val="004C2A61"/>
    <w:rsid w:val="004C42DA"/>
    <w:rsid w:val="004C4650"/>
    <w:rsid w:val="004C534F"/>
    <w:rsid w:val="004C5587"/>
    <w:rsid w:val="004D061D"/>
    <w:rsid w:val="004D3087"/>
    <w:rsid w:val="004D38B2"/>
    <w:rsid w:val="004D3982"/>
    <w:rsid w:val="004D4710"/>
    <w:rsid w:val="004D5619"/>
    <w:rsid w:val="004D644E"/>
    <w:rsid w:val="004D6DEE"/>
    <w:rsid w:val="004E065A"/>
    <w:rsid w:val="004E153E"/>
    <w:rsid w:val="004E40B4"/>
    <w:rsid w:val="004E5CD7"/>
    <w:rsid w:val="004E7993"/>
    <w:rsid w:val="004F2075"/>
    <w:rsid w:val="004F2407"/>
    <w:rsid w:val="004F3704"/>
    <w:rsid w:val="004F48C1"/>
    <w:rsid w:val="004F520C"/>
    <w:rsid w:val="004F587C"/>
    <w:rsid w:val="004F5C6A"/>
    <w:rsid w:val="004F5F9F"/>
    <w:rsid w:val="004F60CD"/>
    <w:rsid w:val="004F66D2"/>
    <w:rsid w:val="004F6F90"/>
    <w:rsid w:val="004F7FDF"/>
    <w:rsid w:val="00500C99"/>
    <w:rsid w:val="00504B28"/>
    <w:rsid w:val="00506B60"/>
    <w:rsid w:val="00510B00"/>
    <w:rsid w:val="0051120E"/>
    <w:rsid w:val="0051272B"/>
    <w:rsid w:val="00512816"/>
    <w:rsid w:val="00514232"/>
    <w:rsid w:val="00516EB5"/>
    <w:rsid w:val="00517E03"/>
    <w:rsid w:val="00520423"/>
    <w:rsid w:val="00521AE9"/>
    <w:rsid w:val="005267A4"/>
    <w:rsid w:val="0052713E"/>
    <w:rsid w:val="00527FD0"/>
    <w:rsid w:val="0053303B"/>
    <w:rsid w:val="00534CED"/>
    <w:rsid w:val="005352E2"/>
    <w:rsid w:val="00535580"/>
    <w:rsid w:val="00536B03"/>
    <w:rsid w:val="00537E63"/>
    <w:rsid w:val="00541AB6"/>
    <w:rsid w:val="005437F0"/>
    <w:rsid w:val="00543960"/>
    <w:rsid w:val="00543967"/>
    <w:rsid w:val="00543B0E"/>
    <w:rsid w:val="00544074"/>
    <w:rsid w:val="00544794"/>
    <w:rsid w:val="0054563A"/>
    <w:rsid w:val="00546844"/>
    <w:rsid w:val="005528FE"/>
    <w:rsid w:val="00552D77"/>
    <w:rsid w:val="0055310B"/>
    <w:rsid w:val="00554FFF"/>
    <w:rsid w:val="0055603A"/>
    <w:rsid w:val="005609DB"/>
    <w:rsid w:val="00560AF5"/>
    <w:rsid w:val="00562805"/>
    <w:rsid w:val="00563694"/>
    <w:rsid w:val="0056372E"/>
    <w:rsid w:val="00566604"/>
    <w:rsid w:val="00570DE9"/>
    <w:rsid w:val="00570E36"/>
    <w:rsid w:val="0057248F"/>
    <w:rsid w:val="00572AFC"/>
    <w:rsid w:val="00573837"/>
    <w:rsid w:val="0057391F"/>
    <w:rsid w:val="00575B55"/>
    <w:rsid w:val="00576584"/>
    <w:rsid w:val="005769B3"/>
    <w:rsid w:val="0058180D"/>
    <w:rsid w:val="00581C05"/>
    <w:rsid w:val="00583BCD"/>
    <w:rsid w:val="00583E97"/>
    <w:rsid w:val="005874B2"/>
    <w:rsid w:val="0059037C"/>
    <w:rsid w:val="005947A2"/>
    <w:rsid w:val="00594FD5"/>
    <w:rsid w:val="00597B57"/>
    <w:rsid w:val="005A0284"/>
    <w:rsid w:val="005A1F11"/>
    <w:rsid w:val="005A3A0E"/>
    <w:rsid w:val="005A4281"/>
    <w:rsid w:val="005A4459"/>
    <w:rsid w:val="005A623F"/>
    <w:rsid w:val="005A66EA"/>
    <w:rsid w:val="005A6788"/>
    <w:rsid w:val="005A6CD6"/>
    <w:rsid w:val="005B02CA"/>
    <w:rsid w:val="005B0615"/>
    <w:rsid w:val="005B1F53"/>
    <w:rsid w:val="005B3587"/>
    <w:rsid w:val="005B3F0C"/>
    <w:rsid w:val="005B5BF3"/>
    <w:rsid w:val="005B7DDC"/>
    <w:rsid w:val="005C131D"/>
    <w:rsid w:val="005C1CC8"/>
    <w:rsid w:val="005C269E"/>
    <w:rsid w:val="005C271F"/>
    <w:rsid w:val="005C3A9C"/>
    <w:rsid w:val="005C3C2B"/>
    <w:rsid w:val="005C43F4"/>
    <w:rsid w:val="005D2216"/>
    <w:rsid w:val="005D227E"/>
    <w:rsid w:val="005D3032"/>
    <w:rsid w:val="005D43CE"/>
    <w:rsid w:val="005D4836"/>
    <w:rsid w:val="005D4855"/>
    <w:rsid w:val="005D7E88"/>
    <w:rsid w:val="005E0665"/>
    <w:rsid w:val="005E149E"/>
    <w:rsid w:val="005E29DB"/>
    <w:rsid w:val="005E2A19"/>
    <w:rsid w:val="005F048E"/>
    <w:rsid w:val="005F0F0C"/>
    <w:rsid w:val="005F1EC5"/>
    <w:rsid w:val="005F2A07"/>
    <w:rsid w:val="005F6BFA"/>
    <w:rsid w:val="00600DC6"/>
    <w:rsid w:val="0060239C"/>
    <w:rsid w:val="00603639"/>
    <w:rsid w:val="00603A2B"/>
    <w:rsid w:val="00604FE1"/>
    <w:rsid w:val="00605453"/>
    <w:rsid w:val="0060553E"/>
    <w:rsid w:val="006066F2"/>
    <w:rsid w:val="006067D9"/>
    <w:rsid w:val="00611570"/>
    <w:rsid w:val="006120B4"/>
    <w:rsid w:val="0061211D"/>
    <w:rsid w:val="00612403"/>
    <w:rsid w:val="006153F1"/>
    <w:rsid w:val="006171EF"/>
    <w:rsid w:val="006179AF"/>
    <w:rsid w:val="006212FD"/>
    <w:rsid w:val="00622C48"/>
    <w:rsid w:val="00622D90"/>
    <w:rsid w:val="0062326F"/>
    <w:rsid w:val="00623976"/>
    <w:rsid w:val="00625BC2"/>
    <w:rsid w:val="00626B66"/>
    <w:rsid w:val="006314D6"/>
    <w:rsid w:val="00634784"/>
    <w:rsid w:val="00635CEB"/>
    <w:rsid w:val="00640CE3"/>
    <w:rsid w:val="0064219E"/>
    <w:rsid w:val="0064249C"/>
    <w:rsid w:val="00643B33"/>
    <w:rsid w:val="00644461"/>
    <w:rsid w:val="00653075"/>
    <w:rsid w:val="0065330E"/>
    <w:rsid w:val="00653F4D"/>
    <w:rsid w:val="00654DA0"/>
    <w:rsid w:val="00654F7A"/>
    <w:rsid w:val="00660DEE"/>
    <w:rsid w:val="006651AA"/>
    <w:rsid w:val="00666953"/>
    <w:rsid w:val="00667FF9"/>
    <w:rsid w:val="00671189"/>
    <w:rsid w:val="00671B10"/>
    <w:rsid w:val="00672ADF"/>
    <w:rsid w:val="006731BD"/>
    <w:rsid w:val="00673F15"/>
    <w:rsid w:val="00674743"/>
    <w:rsid w:val="0067498C"/>
    <w:rsid w:val="006776FA"/>
    <w:rsid w:val="00677A55"/>
    <w:rsid w:val="0068097F"/>
    <w:rsid w:val="00681477"/>
    <w:rsid w:val="00682CB5"/>
    <w:rsid w:val="006834F9"/>
    <w:rsid w:val="00684A16"/>
    <w:rsid w:val="00687D1F"/>
    <w:rsid w:val="006915C4"/>
    <w:rsid w:val="00691968"/>
    <w:rsid w:val="006935B1"/>
    <w:rsid w:val="00694BE7"/>
    <w:rsid w:val="00694F3A"/>
    <w:rsid w:val="00695390"/>
    <w:rsid w:val="00696B30"/>
    <w:rsid w:val="00696BA7"/>
    <w:rsid w:val="0069739D"/>
    <w:rsid w:val="0069745E"/>
    <w:rsid w:val="006A0A0C"/>
    <w:rsid w:val="006A2B52"/>
    <w:rsid w:val="006A2D85"/>
    <w:rsid w:val="006A3B30"/>
    <w:rsid w:val="006A3B42"/>
    <w:rsid w:val="006A3C7B"/>
    <w:rsid w:val="006A45BF"/>
    <w:rsid w:val="006A4E53"/>
    <w:rsid w:val="006A5EBE"/>
    <w:rsid w:val="006A6920"/>
    <w:rsid w:val="006A7298"/>
    <w:rsid w:val="006A755A"/>
    <w:rsid w:val="006A77CB"/>
    <w:rsid w:val="006A784D"/>
    <w:rsid w:val="006A7F81"/>
    <w:rsid w:val="006B07D2"/>
    <w:rsid w:val="006B1AAD"/>
    <w:rsid w:val="006B2A0B"/>
    <w:rsid w:val="006B34D4"/>
    <w:rsid w:val="006B4C5A"/>
    <w:rsid w:val="006B66D0"/>
    <w:rsid w:val="006C1208"/>
    <w:rsid w:val="006C1D76"/>
    <w:rsid w:val="006C458B"/>
    <w:rsid w:val="006C5A96"/>
    <w:rsid w:val="006C6DE1"/>
    <w:rsid w:val="006C7E28"/>
    <w:rsid w:val="006D1E39"/>
    <w:rsid w:val="006D478B"/>
    <w:rsid w:val="006D4A94"/>
    <w:rsid w:val="006D5AD7"/>
    <w:rsid w:val="006D79B8"/>
    <w:rsid w:val="006E06A4"/>
    <w:rsid w:val="006E0C3A"/>
    <w:rsid w:val="006E110B"/>
    <w:rsid w:val="006E3D96"/>
    <w:rsid w:val="006E45D5"/>
    <w:rsid w:val="006E55B2"/>
    <w:rsid w:val="006F02C9"/>
    <w:rsid w:val="006F03A0"/>
    <w:rsid w:val="006F059C"/>
    <w:rsid w:val="006F1875"/>
    <w:rsid w:val="006F350E"/>
    <w:rsid w:val="006F363B"/>
    <w:rsid w:val="006F39C1"/>
    <w:rsid w:val="006F4996"/>
    <w:rsid w:val="006F57AB"/>
    <w:rsid w:val="006F5E11"/>
    <w:rsid w:val="006F60AC"/>
    <w:rsid w:val="006F650E"/>
    <w:rsid w:val="006F6BF9"/>
    <w:rsid w:val="006F70D6"/>
    <w:rsid w:val="00701339"/>
    <w:rsid w:val="0070371D"/>
    <w:rsid w:val="007041C1"/>
    <w:rsid w:val="007045F3"/>
    <w:rsid w:val="0070475B"/>
    <w:rsid w:val="00704D88"/>
    <w:rsid w:val="0070688B"/>
    <w:rsid w:val="00706FE7"/>
    <w:rsid w:val="00707212"/>
    <w:rsid w:val="0070754F"/>
    <w:rsid w:val="007078E2"/>
    <w:rsid w:val="007113F7"/>
    <w:rsid w:val="00711504"/>
    <w:rsid w:val="00714B25"/>
    <w:rsid w:val="00715F97"/>
    <w:rsid w:val="00716332"/>
    <w:rsid w:val="00716ADE"/>
    <w:rsid w:val="00716B2F"/>
    <w:rsid w:val="00717FD6"/>
    <w:rsid w:val="00720118"/>
    <w:rsid w:val="0072064F"/>
    <w:rsid w:val="007215A2"/>
    <w:rsid w:val="00722308"/>
    <w:rsid w:val="00722BF8"/>
    <w:rsid w:val="007237E2"/>
    <w:rsid w:val="00723FCD"/>
    <w:rsid w:val="00724165"/>
    <w:rsid w:val="00724AC2"/>
    <w:rsid w:val="00725044"/>
    <w:rsid w:val="00726518"/>
    <w:rsid w:val="00726C48"/>
    <w:rsid w:val="00730039"/>
    <w:rsid w:val="007300A2"/>
    <w:rsid w:val="00730993"/>
    <w:rsid w:val="0073204C"/>
    <w:rsid w:val="00732737"/>
    <w:rsid w:val="00732C9C"/>
    <w:rsid w:val="007348FF"/>
    <w:rsid w:val="00735566"/>
    <w:rsid w:val="00735B04"/>
    <w:rsid w:val="00736917"/>
    <w:rsid w:val="00737234"/>
    <w:rsid w:val="00740584"/>
    <w:rsid w:val="00746499"/>
    <w:rsid w:val="0074761C"/>
    <w:rsid w:val="00747968"/>
    <w:rsid w:val="00750BB8"/>
    <w:rsid w:val="00752B09"/>
    <w:rsid w:val="00754191"/>
    <w:rsid w:val="00755306"/>
    <w:rsid w:val="00755C41"/>
    <w:rsid w:val="00755CBE"/>
    <w:rsid w:val="00757350"/>
    <w:rsid w:val="00757D8C"/>
    <w:rsid w:val="00761C2B"/>
    <w:rsid w:val="00762472"/>
    <w:rsid w:val="007634AD"/>
    <w:rsid w:val="00763635"/>
    <w:rsid w:val="0076698F"/>
    <w:rsid w:val="00770F30"/>
    <w:rsid w:val="007711C3"/>
    <w:rsid w:val="007719A9"/>
    <w:rsid w:val="00771DB9"/>
    <w:rsid w:val="00772F8B"/>
    <w:rsid w:val="00773607"/>
    <w:rsid w:val="00773955"/>
    <w:rsid w:val="0077599B"/>
    <w:rsid w:val="007777C5"/>
    <w:rsid w:val="00780FCB"/>
    <w:rsid w:val="0078118E"/>
    <w:rsid w:val="0078182B"/>
    <w:rsid w:val="007819D4"/>
    <w:rsid w:val="0078329A"/>
    <w:rsid w:val="00790E0A"/>
    <w:rsid w:val="00792F85"/>
    <w:rsid w:val="00793673"/>
    <w:rsid w:val="00795D90"/>
    <w:rsid w:val="007A1856"/>
    <w:rsid w:val="007A24A6"/>
    <w:rsid w:val="007A3C9C"/>
    <w:rsid w:val="007A4198"/>
    <w:rsid w:val="007A5113"/>
    <w:rsid w:val="007A7E17"/>
    <w:rsid w:val="007B1361"/>
    <w:rsid w:val="007B3085"/>
    <w:rsid w:val="007B3725"/>
    <w:rsid w:val="007B465D"/>
    <w:rsid w:val="007B4BED"/>
    <w:rsid w:val="007B5173"/>
    <w:rsid w:val="007B7509"/>
    <w:rsid w:val="007C0B7A"/>
    <w:rsid w:val="007C14A6"/>
    <w:rsid w:val="007C2979"/>
    <w:rsid w:val="007C3389"/>
    <w:rsid w:val="007C44E9"/>
    <w:rsid w:val="007C61D6"/>
    <w:rsid w:val="007C64F0"/>
    <w:rsid w:val="007C7C81"/>
    <w:rsid w:val="007C7EF3"/>
    <w:rsid w:val="007D1EC6"/>
    <w:rsid w:val="007D22CE"/>
    <w:rsid w:val="007D22F9"/>
    <w:rsid w:val="007D4E54"/>
    <w:rsid w:val="007D4ECA"/>
    <w:rsid w:val="007D6B2E"/>
    <w:rsid w:val="007E093A"/>
    <w:rsid w:val="007E117A"/>
    <w:rsid w:val="007E12E3"/>
    <w:rsid w:val="007E1746"/>
    <w:rsid w:val="007E1B31"/>
    <w:rsid w:val="007E22A5"/>
    <w:rsid w:val="007E2C15"/>
    <w:rsid w:val="007E36A2"/>
    <w:rsid w:val="007E57FF"/>
    <w:rsid w:val="007E6FDF"/>
    <w:rsid w:val="007E764F"/>
    <w:rsid w:val="007F0596"/>
    <w:rsid w:val="007F0B7B"/>
    <w:rsid w:val="007F2240"/>
    <w:rsid w:val="007F28A9"/>
    <w:rsid w:val="007F2BA4"/>
    <w:rsid w:val="007F32EE"/>
    <w:rsid w:val="007F3EAB"/>
    <w:rsid w:val="007F4033"/>
    <w:rsid w:val="007F4E24"/>
    <w:rsid w:val="007F5FA2"/>
    <w:rsid w:val="007F61C0"/>
    <w:rsid w:val="007F667F"/>
    <w:rsid w:val="007F7BDB"/>
    <w:rsid w:val="008005D1"/>
    <w:rsid w:val="008039E9"/>
    <w:rsid w:val="008072D7"/>
    <w:rsid w:val="00810BCC"/>
    <w:rsid w:val="00811676"/>
    <w:rsid w:val="00813654"/>
    <w:rsid w:val="0081432E"/>
    <w:rsid w:val="008150BD"/>
    <w:rsid w:val="008151A4"/>
    <w:rsid w:val="008153A4"/>
    <w:rsid w:val="00816161"/>
    <w:rsid w:val="0081708C"/>
    <w:rsid w:val="008206FF"/>
    <w:rsid w:val="00821236"/>
    <w:rsid w:val="008246E7"/>
    <w:rsid w:val="00824E53"/>
    <w:rsid w:val="00825AFE"/>
    <w:rsid w:val="00830128"/>
    <w:rsid w:val="0083019A"/>
    <w:rsid w:val="00831787"/>
    <w:rsid w:val="00831B64"/>
    <w:rsid w:val="00834348"/>
    <w:rsid w:val="008367F1"/>
    <w:rsid w:val="00840AA5"/>
    <w:rsid w:val="008414A5"/>
    <w:rsid w:val="008419F0"/>
    <w:rsid w:val="00843802"/>
    <w:rsid w:val="0084417C"/>
    <w:rsid w:val="008443FE"/>
    <w:rsid w:val="0084582E"/>
    <w:rsid w:val="0084662B"/>
    <w:rsid w:val="00847664"/>
    <w:rsid w:val="00847FAD"/>
    <w:rsid w:val="00850C6B"/>
    <w:rsid w:val="008526BD"/>
    <w:rsid w:val="0085283C"/>
    <w:rsid w:val="00857216"/>
    <w:rsid w:val="008601BF"/>
    <w:rsid w:val="008602B8"/>
    <w:rsid w:val="00860AC6"/>
    <w:rsid w:val="00861B1B"/>
    <w:rsid w:val="008623EF"/>
    <w:rsid w:val="00863855"/>
    <w:rsid w:val="00863D05"/>
    <w:rsid w:val="0086507C"/>
    <w:rsid w:val="00865E9F"/>
    <w:rsid w:val="008701CE"/>
    <w:rsid w:val="0087046E"/>
    <w:rsid w:val="00870CE7"/>
    <w:rsid w:val="00870D24"/>
    <w:rsid w:val="008710DF"/>
    <w:rsid w:val="00871D1E"/>
    <w:rsid w:val="00872B77"/>
    <w:rsid w:val="0087473E"/>
    <w:rsid w:val="00874E76"/>
    <w:rsid w:val="00874FB2"/>
    <w:rsid w:val="008764AF"/>
    <w:rsid w:val="008764F8"/>
    <w:rsid w:val="00882E87"/>
    <w:rsid w:val="0088304D"/>
    <w:rsid w:val="00884144"/>
    <w:rsid w:val="008844F1"/>
    <w:rsid w:val="00884B5D"/>
    <w:rsid w:val="0088617B"/>
    <w:rsid w:val="00886A2B"/>
    <w:rsid w:val="008904CF"/>
    <w:rsid w:val="00890662"/>
    <w:rsid w:val="0089366C"/>
    <w:rsid w:val="00894272"/>
    <w:rsid w:val="00895811"/>
    <w:rsid w:val="008971DB"/>
    <w:rsid w:val="00897239"/>
    <w:rsid w:val="00897D26"/>
    <w:rsid w:val="008A19C4"/>
    <w:rsid w:val="008A22CD"/>
    <w:rsid w:val="008A320D"/>
    <w:rsid w:val="008A3F19"/>
    <w:rsid w:val="008B00A4"/>
    <w:rsid w:val="008B0D1A"/>
    <w:rsid w:val="008B3545"/>
    <w:rsid w:val="008B7F76"/>
    <w:rsid w:val="008C04B4"/>
    <w:rsid w:val="008C2BEF"/>
    <w:rsid w:val="008D01BE"/>
    <w:rsid w:val="008D1B3D"/>
    <w:rsid w:val="008D262D"/>
    <w:rsid w:val="008D3464"/>
    <w:rsid w:val="008D5263"/>
    <w:rsid w:val="008D5266"/>
    <w:rsid w:val="008D7404"/>
    <w:rsid w:val="008E0B9E"/>
    <w:rsid w:val="008E2B25"/>
    <w:rsid w:val="008E2C9C"/>
    <w:rsid w:val="008E4AF8"/>
    <w:rsid w:val="008E5FE3"/>
    <w:rsid w:val="008E6445"/>
    <w:rsid w:val="008E7176"/>
    <w:rsid w:val="008F122D"/>
    <w:rsid w:val="008F5127"/>
    <w:rsid w:val="008F55E1"/>
    <w:rsid w:val="008F65FB"/>
    <w:rsid w:val="008F7D26"/>
    <w:rsid w:val="00901C0A"/>
    <w:rsid w:val="0090350C"/>
    <w:rsid w:val="0090367F"/>
    <w:rsid w:val="00903E40"/>
    <w:rsid w:val="009040E3"/>
    <w:rsid w:val="00904E33"/>
    <w:rsid w:val="00904E70"/>
    <w:rsid w:val="00905DDC"/>
    <w:rsid w:val="00906055"/>
    <w:rsid w:val="0090779F"/>
    <w:rsid w:val="00910FA9"/>
    <w:rsid w:val="00911429"/>
    <w:rsid w:val="00911DCD"/>
    <w:rsid w:val="00912040"/>
    <w:rsid w:val="00912220"/>
    <w:rsid w:val="00913853"/>
    <w:rsid w:val="00915641"/>
    <w:rsid w:val="00917B3D"/>
    <w:rsid w:val="009219CC"/>
    <w:rsid w:val="00922463"/>
    <w:rsid w:val="00922C29"/>
    <w:rsid w:val="00923454"/>
    <w:rsid w:val="00923D1C"/>
    <w:rsid w:val="00923E6E"/>
    <w:rsid w:val="009257EB"/>
    <w:rsid w:val="00925E4D"/>
    <w:rsid w:val="00926BFD"/>
    <w:rsid w:val="00927429"/>
    <w:rsid w:val="00927A5A"/>
    <w:rsid w:val="0093078A"/>
    <w:rsid w:val="00930830"/>
    <w:rsid w:val="0093116F"/>
    <w:rsid w:val="00932350"/>
    <w:rsid w:val="0093319A"/>
    <w:rsid w:val="00934601"/>
    <w:rsid w:val="00934C51"/>
    <w:rsid w:val="00935003"/>
    <w:rsid w:val="00935970"/>
    <w:rsid w:val="009361BD"/>
    <w:rsid w:val="009373A9"/>
    <w:rsid w:val="009424F0"/>
    <w:rsid w:val="009432B0"/>
    <w:rsid w:val="009433B5"/>
    <w:rsid w:val="009437EA"/>
    <w:rsid w:val="00945A07"/>
    <w:rsid w:val="00950A86"/>
    <w:rsid w:val="009524E8"/>
    <w:rsid w:val="00952A8A"/>
    <w:rsid w:val="00955929"/>
    <w:rsid w:val="00956A7B"/>
    <w:rsid w:val="00956E26"/>
    <w:rsid w:val="00957524"/>
    <w:rsid w:val="0096031B"/>
    <w:rsid w:val="00960E77"/>
    <w:rsid w:val="009620D8"/>
    <w:rsid w:val="00962A33"/>
    <w:rsid w:val="009634D7"/>
    <w:rsid w:val="009641BA"/>
    <w:rsid w:val="009659F3"/>
    <w:rsid w:val="0096665F"/>
    <w:rsid w:val="00970770"/>
    <w:rsid w:val="009708FB"/>
    <w:rsid w:val="00973E22"/>
    <w:rsid w:val="009741C3"/>
    <w:rsid w:val="00976B08"/>
    <w:rsid w:val="00977F3F"/>
    <w:rsid w:val="00980692"/>
    <w:rsid w:val="00982499"/>
    <w:rsid w:val="0098265A"/>
    <w:rsid w:val="00984508"/>
    <w:rsid w:val="0098465E"/>
    <w:rsid w:val="009856E5"/>
    <w:rsid w:val="0099105C"/>
    <w:rsid w:val="009935E9"/>
    <w:rsid w:val="00993B2C"/>
    <w:rsid w:val="009944C3"/>
    <w:rsid w:val="00994B09"/>
    <w:rsid w:val="00994EB9"/>
    <w:rsid w:val="00995BED"/>
    <w:rsid w:val="009A0352"/>
    <w:rsid w:val="009A0D4A"/>
    <w:rsid w:val="009A10C3"/>
    <w:rsid w:val="009A11B7"/>
    <w:rsid w:val="009A173A"/>
    <w:rsid w:val="009A19AF"/>
    <w:rsid w:val="009A4A48"/>
    <w:rsid w:val="009A6A73"/>
    <w:rsid w:val="009B1E7F"/>
    <w:rsid w:val="009B3BB0"/>
    <w:rsid w:val="009B44FB"/>
    <w:rsid w:val="009B46D1"/>
    <w:rsid w:val="009B54CB"/>
    <w:rsid w:val="009B5C73"/>
    <w:rsid w:val="009B5D19"/>
    <w:rsid w:val="009B7FE5"/>
    <w:rsid w:val="009C124D"/>
    <w:rsid w:val="009C17AA"/>
    <w:rsid w:val="009C30FF"/>
    <w:rsid w:val="009C36CB"/>
    <w:rsid w:val="009C38DD"/>
    <w:rsid w:val="009C3929"/>
    <w:rsid w:val="009C4656"/>
    <w:rsid w:val="009C6DC8"/>
    <w:rsid w:val="009C7133"/>
    <w:rsid w:val="009C740C"/>
    <w:rsid w:val="009D2EEA"/>
    <w:rsid w:val="009D5481"/>
    <w:rsid w:val="009D5938"/>
    <w:rsid w:val="009D5C78"/>
    <w:rsid w:val="009D61F5"/>
    <w:rsid w:val="009E23B2"/>
    <w:rsid w:val="009E258E"/>
    <w:rsid w:val="009E3E48"/>
    <w:rsid w:val="009E466C"/>
    <w:rsid w:val="009E4892"/>
    <w:rsid w:val="009E49AF"/>
    <w:rsid w:val="009E69FC"/>
    <w:rsid w:val="009F02E9"/>
    <w:rsid w:val="009F1EA8"/>
    <w:rsid w:val="009F4836"/>
    <w:rsid w:val="009F512C"/>
    <w:rsid w:val="009F520C"/>
    <w:rsid w:val="009F79E5"/>
    <w:rsid w:val="00A01E4E"/>
    <w:rsid w:val="00A025B5"/>
    <w:rsid w:val="00A02654"/>
    <w:rsid w:val="00A02832"/>
    <w:rsid w:val="00A02CD6"/>
    <w:rsid w:val="00A06479"/>
    <w:rsid w:val="00A066B5"/>
    <w:rsid w:val="00A0795B"/>
    <w:rsid w:val="00A102DF"/>
    <w:rsid w:val="00A10AEF"/>
    <w:rsid w:val="00A10D4E"/>
    <w:rsid w:val="00A1168A"/>
    <w:rsid w:val="00A11E1B"/>
    <w:rsid w:val="00A12139"/>
    <w:rsid w:val="00A14427"/>
    <w:rsid w:val="00A14D3E"/>
    <w:rsid w:val="00A16CD3"/>
    <w:rsid w:val="00A20883"/>
    <w:rsid w:val="00A22013"/>
    <w:rsid w:val="00A234A9"/>
    <w:rsid w:val="00A246BF"/>
    <w:rsid w:val="00A25051"/>
    <w:rsid w:val="00A25822"/>
    <w:rsid w:val="00A26A0E"/>
    <w:rsid w:val="00A26EB2"/>
    <w:rsid w:val="00A30004"/>
    <w:rsid w:val="00A307ED"/>
    <w:rsid w:val="00A33240"/>
    <w:rsid w:val="00A3331F"/>
    <w:rsid w:val="00A3371B"/>
    <w:rsid w:val="00A33ABF"/>
    <w:rsid w:val="00A34078"/>
    <w:rsid w:val="00A3478A"/>
    <w:rsid w:val="00A34A4F"/>
    <w:rsid w:val="00A37105"/>
    <w:rsid w:val="00A4068F"/>
    <w:rsid w:val="00A42D58"/>
    <w:rsid w:val="00A42F16"/>
    <w:rsid w:val="00A44028"/>
    <w:rsid w:val="00A45852"/>
    <w:rsid w:val="00A461F1"/>
    <w:rsid w:val="00A476E6"/>
    <w:rsid w:val="00A50A41"/>
    <w:rsid w:val="00A52167"/>
    <w:rsid w:val="00A5265D"/>
    <w:rsid w:val="00A5355F"/>
    <w:rsid w:val="00A536F0"/>
    <w:rsid w:val="00A543FE"/>
    <w:rsid w:val="00A5484C"/>
    <w:rsid w:val="00A54E98"/>
    <w:rsid w:val="00A562CC"/>
    <w:rsid w:val="00A56888"/>
    <w:rsid w:val="00A56A36"/>
    <w:rsid w:val="00A62BE0"/>
    <w:rsid w:val="00A639FD"/>
    <w:rsid w:val="00A645DC"/>
    <w:rsid w:val="00A66111"/>
    <w:rsid w:val="00A673A3"/>
    <w:rsid w:val="00A70429"/>
    <w:rsid w:val="00A707CC"/>
    <w:rsid w:val="00A713CB"/>
    <w:rsid w:val="00A73581"/>
    <w:rsid w:val="00A7369C"/>
    <w:rsid w:val="00A73CA9"/>
    <w:rsid w:val="00A73D24"/>
    <w:rsid w:val="00A743CA"/>
    <w:rsid w:val="00A755BA"/>
    <w:rsid w:val="00A80433"/>
    <w:rsid w:val="00A806B4"/>
    <w:rsid w:val="00A80A39"/>
    <w:rsid w:val="00A835FE"/>
    <w:rsid w:val="00A84D25"/>
    <w:rsid w:val="00A85100"/>
    <w:rsid w:val="00A8610E"/>
    <w:rsid w:val="00A872F7"/>
    <w:rsid w:val="00A908F1"/>
    <w:rsid w:val="00A90B97"/>
    <w:rsid w:val="00A90DD2"/>
    <w:rsid w:val="00A91A88"/>
    <w:rsid w:val="00A91AE3"/>
    <w:rsid w:val="00A92DEE"/>
    <w:rsid w:val="00A9374F"/>
    <w:rsid w:val="00A94010"/>
    <w:rsid w:val="00A96453"/>
    <w:rsid w:val="00A9682F"/>
    <w:rsid w:val="00A96BCE"/>
    <w:rsid w:val="00AA27BA"/>
    <w:rsid w:val="00AA284A"/>
    <w:rsid w:val="00AA38EE"/>
    <w:rsid w:val="00AA4180"/>
    <w:rsid w:val="00AA50B4"/>
    <w:rsid w:val="00AA7911"/>
    <w:rsid w:val="00AB0C72"/>
    <w:rsid w:val="00AB1289"/>
    <w:rsid w:val="00AB15A8"/>
    <w:rsid w:val="00AB2B06"/>
    <w:rsid w:val="00AB44CF"/>
    <w:rsid w:val="00AB49C4"/>
    <w:rsid w:val="00AB57BC"/>
    <w:rsid w:val="00AB6873"/>
    <w:rsid w:val="00AC0388"/>
    <w:rsid w:val="00AC07AC"/>
    <w:rsid w:val="00AC1B76"/>
    <w:rsid w:val="00AC1EB7"/>
    <w:rsid w:val="00AC2BE2"/>
    <w:rsid w:val="00AC4D14"/>
    <w:rsid w:val="00AC4E85"/>
    <w:rsid w:val="00AC5BCB"/>
    <w:rsid w:val="00AD055E"/>
    <w:rsid w:val="00AD0839"/>
    <w:rsid w:val="00AD0C49"/>
    <w:rsid w:val="00AD0D30"/>
    <w:rsid w:val="00AD1A8E"/>
    <w:rsid w:val="00AD4959"/>
    <w:rsid w:val="00AD4E66"/>
    <w:rsid w:val="00AD5F6A"/>
    <w:rsid w:val="00AD6612"/>
    <w:rsid w:val="00AD6626"/>
    <w:rsid w:val="00AD7162"/>
    <w:rsid w:val="00AD7A4B"/>
    <w:rsid w:val="00AE10C9"/>
    <w:rsid w:val="00AE23E5"/>
    <w:rsid w:val="00AE267A"/>
    <w:rsid w:val="00AE309B"/>
    <w:rsid w:val="00AE4807"/>
    <w:rsid w:val="00AE6085"/>
    <w:rsid w:val="00AE6228"/>
    <w:rsid w:val="00AE6EBF"/>
    <w:rsid w:val="00AF1222"/>
    <w:rsid w:val="00AF154D"/>
    <w:rsid w:val="00AF1E43"/>
    <w:rsid w:val="00AF1FC8"/>
    <w:rsid w:val="00AF256B"/>
    <w:rsid w:val="00AF48C1"/>
    <w:rsid w:val="00AF5125"/>
    <w:rsid w:val="00B0013A"/>
    <w:rsid w:val="00B02BAD"/>
    <w:rsid w:val="00B03068"/>
    <w:rsid w:val="00B04388"/>
    <w:rsid w:val="00B04D7D"/>
    <w:rsid w:val="00B050E6"/>
    <w:rsid w:val="00B0728E"/>
    <w:rsid w:val="00B10D48"/>
    <w:rsid w:val="00B13D74"/>
    <w:rsid w:val="00B1467A"/>
    <w:rsid w:val="00B15067"/>
    <w:rsid w:val="00B15655"/>
    <w:rsid w:val="00B15EB8"/>
    <w:rsid w:val="00B16E34"/>
    <w:rsid w:val="00B2600F"/>
    <w:rsid w:val="00B26A2F"/>
    <w:rsid w:val="00B30FDA"/>
    <w:rsid w:val="00B32036"/>
    <w:rsid w:val="00B33282"/>
    <w:rsid w:val="00B33436"/>
    <w:rsid w:val="00B33D2D"/>
    <w:rsid w:val="00B3545A"/>
    <w:rsid w:val="00B36C83"/>
    <w:rsid w:val="00B36F1C"/>
    <w:rsid w:val="00B40D55"/>
    <w:rsid w:val="00B4296C"/>
    <w:rsid w:val="00B42B70"/>
    <w:rsid w:val="00B42C7E"/>
    <w:rsid w:val="00B456A5"/>
    <w:rsid w:val="00B50042"/>
    <w:rsid w:val="00B527ED"/>
    <w:rsid w:val="00B54F90"/>
    <w:rsid w:val="00B5767F"/>
    <w:rsid w:val="00B5799D"/>
    <w:rsid w:val="00B6121E"/>
    <w:rsid w:val="00B618D2"/>
    <w:rsid w:val="00B622B8"/>
    <w:rsid w:val="00B636A5"/>
    <w:rsid w:val="00B65659"/>
    <w:rsid w:val="00B65DA0"/>
    <w:rsid w:val="00B7022D"/>
    <w:rsid w:val="00B70EC8"/>
    <w:rsid w:val="00B77375"/>
    <w:rsid w:val="00B7797A"/>
    <w:rsid w:val="00B77CD8"/>
    <w:rsid w:val="00B81C44"/>
    <w:rsid w:val="00B82DFB"/>
    <w:rsid w:val="00B83DAA"/>
    <w:rsid w:val="00B83FD5"/>
    <w:rsid w:val="00B85877"/>
    <w:rsid w:val="00B87A3E"/>
    <w:rsid w:val="00B92B69"/>
    <w:rsid w:val="00B93858"/>
    <w:rsid w:val="00B94B7A"/>
    <w:rsid w:val="00B95652"/>
    <w:rsid w:val="00B9688F"/>
    <w:rsid w:val="00B96A8E"/>
    <w:rsid w:val="00B96B6C"/>
    <w:rsid w:val="00BA0B29"/>
    <w:rsid w:val="00BA1805"/>
    <w:rsid w:val="00BA2149"/>
    <w:rsid w:val="00BA26A3"/>
    <w:rsid w:val="00BA591F"/>
    <w:rsid w:val="00BB09AF"/>
    <w:rsid w:val="00BB0F5C"/>
    <w:rsid w:val="00BB1ED3"/>
    <w:rsid w:val="00BB2876"/>
    <w:rsid w:val="00BB3870"/>
    <w:rsid w:val="00BC03D5"/>
    <w:rsid w:val="00BC131B"/>
    <w:rsid w:val="00BC365F"/>
    <w:rsid w:val="00BD053D"/>
    <w:rsid w:val="00BD061C"/>
    <w:rsid w:val="00BD2322"/>
    <w:rsid w:val="00BD28DD"/>
    <w:rsid w:val="00BD3925"/>
    <w:rsid w:val="00BD4DB8"/>
    <w:rsid w:val="00BD6AF5"/>
    <w:rsid w:val="00BD72C8"/>
    <w:rsid w:val="00BE13A7"/>
    <w:rsid w:val="00BE2997"/>
    <w:rsid w:val="00BE2F79"/>
    <w:rsid w:val="00BF16E6"/>
    <w:rsid w:val="00BF26AB"/>
    <w:rsid w:val="00BF7744"/>
    <w:rsid w:val="00C00DDB"/>
    <w:rsid w:val="00C0169F"/>
    <w:rsid w:val="00C033BB"/>
    <w:rsid w:val="00C0552E"/>
    <w:rsid w:val="00C05AE8"/>
    <w:rsid w:val="00C06233"/>
    <w:rsid w:val="00C06EC3"/>
    <w:rsid w:val="00C1050E"/>
    <w:rsid w:val="00C11F9D"/>
    <w:rsid w:val="00C123E4"/>
    <w:rsid w:val="00C12C42"/>
    <w:rsid w:val="00C155CD"/>
    <w:rsid w:val="00C158AF"/>
    <w:rsid w:val="00C164E8"/>
    <w:rsid w:val="00C16E24"/>
    <w:rsid w:val="00C171DB"/>
    <w:rsid w:val="00C17FA1"/>
    <w:rsid w:val="00C20E53"/>
    <w:rsid w:val="00C219C4"/>
    <w:rsid w:val="00C22AA0"/>
    <w:rsid w:val="00C23305"/>
    <w:rsid w:val="00C23E10"/>
    <w:rsid w:val="00C330D7"/>
    <w:rsid w:val="00C34790"/>
    <w:rsid w:val="00C35039"/>
    <w:rsid w:val="00C35178"/>
    <w:rsid w:val="00C35DB6"/>
    <w:rsid w:val="00C36685"/>
    <w:rsid w:val="00C37DC3"/>
    <w:rsid w:val="00C40CC3"/>
    <w:rsid w:val="00C410D3"/>
    <w:rsid w:val="00C41283"/>
    <w:rsid w:val="00C42FCF"/>
    <w:rsid w:val="00C43ED5"/>
    <w:rsid w:val="00C44842"/>
    <w:rsid w:val="00C454CC"/>
    <w:rsid w:val="00C47F63"/>
    <w:rsid w:val="00C53467"/>
    <w:rsid w:val="00C53627"/>
    <w:rsid w:val="00C53DCA"/>
    <w:rsid w:val="00C545BB"/>
    <w:rsid w:val="00C54602"/>
    <w:rsid w:val="00C54672"/>
    <w:rsid w:val="00C54D96"/>
    <w:rsid w:val="00C55D9D"/>
    <w:rsid w:val="00C55E56"/>
    <w:rsid w:val="00C563C0"/>
    <w:rsid w:val="00C6073A"/>
    <w:rsid w:val="00C6158D"/>
    <w:rsid w:val="00C6184E"/>
    <w:rsid w:val="00C62B65"/>
    <w:rsid w:val="00C67A95"/>
    <w:rsid w:val="00C72A75"/>
    <w:rsid w:val="00C732C5"/>
    <w:rsid w:val="00C73DA4"/>
    <w:rsid w:val="00C75EA1"/>
    <w:rsid w:val="00C774F2"/>
    <w:rsid w:val="00C77B1D"/>
    <w:rsid w:val="00C77F36"/>
    <w:rsid w:val="00C80309"/>
    <w:rsid w:val="00C81877"/>
    <w:rsid w:val="00C822D9"/>
    <w:rsid w:val="00C85D2B"/>
    <w:rsid w:val="00C85D75"/>
    <w:rsid w:val="00C86D67"/>
    <w:rsid w:val="00C91623"/>
    <w:rsid w:val="00C917A0"/>
    <w:rsid w:val="00C91A02"/>
    <w:rsid w:val="00C93498"/>
    <w:rsid w:val="00C958B5"/>
    <w:rsid w:val="00C970BE"/>
    <w:rsid w:val="00CA0B97"/>
    <w:rsid w:val="00CA0C3C"/>
    <w:rsid w:val="00CA11E4"/>
    <w:rsid w:val="00CA1F47"/>
    <w:rsid w:val="00CA3ABE"/>
    <w:rsid w:val="00CA42D8"/>
    <w:rsid w:val="00CA59CE"/>
    <w:rsid w:val="00CA61F4"/>
    <w:rsid w:val="00CA6786"/>
    <w:rsid w:val="00CA73FD"/>
    <w:rsid w:val="00CB7031"/>
    <w:rsid w:val="00CC0375"/>
    <w:rsid w:val="00CC0BB1"/>
    <w:rsid w:val="00CC1882"/>
    <w:rsid w:val="00CC3430"/>
    <w:rsid w:val="00CC4F1A"/>
    <w:rsid w:val="00CC52C2"/>
    <w:rsid w:val="00CC5A8C"/>
    <w:rsid w:val="00CD54BD"/>
    <w:rsid w:val="00CE2523"/>
    <w:rsid w:val="00CE3F18"/>
    <w:rsid w:val="00CE7963"/>
    <w:rsid w:val="00CF4B4F"/>
    <w:rsid w:val="00CF4D78"/>
    <w:rsid w:val="00CF503F"/>
    <w:rsid w:val="00CF5FA2"/>
    <w:rsid w:val="00CF664F"/>
    <w:rsid w:val="00D01EB1"/>
    <w:rsid w:val="00D034C7"/>
    <w:rsid w:val="00D0522A"/>
    <w:rsid w:val="00D069DE"/>
    <w:rsid w:val="00D110B6"/>
    <w:rsid w:val="00D115D3"/>
    <w:rsid w:val="00D12FE9"/>
    <w:rsid w:val="00D13F25"/>
    <w:rsid w:val="00D163EA"/>
    <w:rsid w:val="00D177E3"/>
    <w:rsid w:val="00D20490"/>
    <w:rsid w:val="00D20562"/>
    <w:rsid w:val="00D20963"/>
    <w:rsid w:val="00D22C16"/>
    <w:rsid w:val="00D23828"/>
    <w:rsid w:val="00D25142"/>
    <w:rsid w:val="00D272C8"/>
    <w:rsid w:val="00D2760B"/>
    <w:rsid w:val="00D27EB9"/>
    <w:rsid w:val="00D3209C"/>
    <w:rsid w:val="00D3328E"/>
    <w:rsid w:val="00D33F4F"/>
    <w:rsid w:val="00D348D1"/>
    <w:rsid w:val="00D362F2"/>
    <w:rsid w:val="00D428A0"/>
    <w:rsid w:val="00D42B32"/>
    <w:rsid w:val="00D46261"/>
    <w:rsid w:val="00D4797D"/>
    <w:rsid w:val="00D50022"/>
    <w:rsid w:val="00D507C7"/>
    <w:rsid w:val="00D50FCF"/>
    <w:rsid w:val="00D51DF5"/>
    <w:rsid w:val="00D52189"/>
    <w:rsid w:val="00D5293C"/>
    <w:rsid w:val="00D5309D"/>
    <w:rsid w:val="00D54BFB"/>
    <w:rsid w:val="00D556CB"/>
    <w:rsid w:val="00D55C7C"/>
    <w:rsid w:val="00D55FA5"/>
    <w:rsid w:val="00D63C93"/>
    <w:rsid w:val="00D64182"/>
    <w:rsid w:val="00D64EDC"/>
    <w:rsid w:val="00D65EC7"/>
    <w:rsid w:val="00D67CEA"/>
    <w:rsid w:val="00D70D4D"/>
    <w:rsid w:val="00D76096"/>
    <w:rsid w:val="00D8143D"/>
    <w:rsid w:val="00D838FF"/>
    <w:rsid w:val="00D83E58"/>
    <w:rsid w:val="00D86222"/>
    <w:rsid w:val="00D8642D"/>
    <w:rsid w:val="00D8642F"/>
    <w:rsid w:val="00D903D2"/>
    <w:rsid w:val="00D91E10"/>
    <w:rsid w:val="00D941CA"/>
    <w:rsid w:val="00D95A61"/>
    <w:rsid w:val="00D95F77"/>
    <w:rsid w:val="00D96009"/>
    <w:rsid w:val="00D967DE"/>
    <w:rsid w:val="00D97600"/>
    <w:rsid w:val="00D97CDD"/>
    <w:rsid w:val="00DA05B6"/>
    <w:rsid w:val="00DA0A17"/>
    <w:rsid w:val="00DA0E69"/>
    <w:rsid w:val="00DA1294"/>
    <w:rsid w:val="00DA282D"/>
    <w:rsid w:val="00DA4AF9"/>
    <w:rsid w:val="00DA4B4C"/>
    <w:rsid w:val="00DA6C62"/>
    <w:rsid w:val="00DA7352"/>
    <w:rsid w:val="00DB2CB5"/>
    <w:rsid w:val="00DB2F7D"/>
    <w:rsid w:val="00DB3906"/>
    <w:rsid w:val="00DB4680"/>
    <w:rsid w:val="00DB49F1"/>
    <w:rsid w:val="00DB5772"/>
    <w:rsid w:val="00DC13B0"/>
    <w:rsid w:val="00DC17AD"/>
    <w:rsid w:val="00DC310A"/>
    <w:rsid w:val="00DC4130"/>
    <w:rsid w:val="00DC7F63"/>
    <w:rsid w:val="00DD0310"/>
    <w:rsid w:val="00DD0AE5"/>
    <w:rsid w:val="00DD34D3"/>
    <w:rsid w:val="00DD3688"/>
    <w:rsid w:val="00DD4FB6"/>
    <w:rsid w:val="00DD67E4"/>
    <w:rsid w:val="00DD6BF5"/>
    <w:rsid w:val="00DD6D70"/>
    <w:rsid w:val="00DD6E53"/>
    <w:rsid w:val="00DE124B"/>
    <w:rsid w:val="00DE18A7"/>
    <w:rsid w:val="00DE1DFB"/>
    <w:rsid w:val="00DE4E8C"/>
    <w:rsid w:val="00DE52CB"/>
    <w:rsid w:val="00DE5CA3"/>
    <w:rsid w:val="00DE63F3"/>
    <w:rsid w:val="00DF12CC"/>
    <w:rsid w:val="00DF163B"/>
    <w:rsid w:val="00DF1786"/>
    <w:rsid w:val="00DF1929"/>
    <w:rsid w:val="00DF335C"/>
    <w:rsid w:val="00DF5530"/>
    <w:rsid w:val="00DF564F"/>
    <w:rsid w:val="00DF6AF7"/>
    <w:rsid w:val="00DF6C51"/>
    <w:rsid w:val="00DF72E0"/>
    <w:rsid w:val="00E00FEE"/>
    <w:rsid w:val="00E01606"/>
    <w:rsid w:val="00E017CA"/>
    <w:rsid w:val="00E036F0"/>
    <w:rsid w:val="00E03C68"/>
    <w:rsid w:val="00E044B3"/>
    <w:rsid w:val="00E06F7A"/>
    <w:rsid w:val="00E078CB"/>
    <w:rsid w:val="00E1198C"/>
    <w:rsid w:val="00E121A1"/>
    <w:rsid w:val="00E135A1"/>
    <w:rsid w:val="00E142BD"/>
    <w:rsid w:val="00E161C4"/>
    <w:rsid w:val="00E16DC6"/>
    <w:rsid w:val="00E17A6D"/>
    <w:rsid w:val="00E20502"/>
    <w:rsid w:val="00E2207F"/>
    <w:rsid w:val="00E22542"/>
    <w:rsid w:val="00E22BD2"/>
    <w:rsid w:val="00E23FEE"/>
    <w:rsid w:val="00E25A78"/>
    <w:rsid w:val="00E3089B"/>
    <w:rsid w:val="00E30A0F"/>
    <w:rsid w:val="00E32EBB"/>
    <w:rsid w:val="00E33C09"/>
    <w:rsid w:val="00E34B63"/>
    <w:rsid w:val="00E35324"/>
    <w:rsid w:val="00E35385"/>
    <w:rsid w:val="00E36710"/>
    <w:rsid w:val="00E36FE9"/>
    <w:rsid w:val="00E45F83"/>
    <w:rsid w:val="00E471C2"/>
    <w:rsid w:val="00E471D9"/>
    <w:rsid w:val="00E476F9"/>
    <w:rsid w:val="00E47CDF"/>
    <w:rsid w:val="00E50AA5"/>
    <w:rsid w:val="00E51D70"/>
    <w:rsid w:val="00E524A2"/>
    <w:rsid w:val="00E54900"/>
    <w:rsid w:val="00E54DE6"/>
    <w:rsid w:val="00E559D9"/>
    <w:rsid w:val="00E56626"/>
    <w:rsid w:val="00E574EE"/>
    <w:rsid w:val="00E5759D"/>
    <w:rsid w:val="00E57D33"/>
    <w:rsid w:val="00E57F3F"/>
    <w:rsid w:val="00E61197"/>
    <w:rsid w:val="00E64EA2"/>
    <w:rsid w:val="00E70B07"/>
    <w:rsid w:val="00E728C7"/>
    <w:rsid w:val="00E736B5"/>
    <w:rsid w:val="00E73959"/>
    <w:rsid w:val="00E76674"/>
    <w:rsid w:val="00E76A57"/>
    <w:rsid w:val="00E7741F"/>
    <w:rsid w:val="00E77A73"/>
    <w:rsid w:val="00E81225"/>
    <w:rsid w:val="00E823D7"/>
    <w:rsid w:val="00E83659"/>
    <w:rsid w:val="00E83787"/>
    <w:rsid w:val="00E86CFA"/>
    <w:rsid w:val="00E9118D"/>
    <w:rsid w:val="00E91AFF"/>
    <w:rsid w:val="00E9277C"/>
    <w:rsid w:val="00E9490C"/>
    <w:rsid w:val="00EA03A3"/>
    <w:rsid w:val="00EA1BC0"/>
    <w:rsid w:val="00EA3731"/>
    <w:rsid w:val="00EA6084"/>
    <w:rsid w:val="00EA699E"/>
    <w:rsid w:val="00EA6E78"/>
    <w:rsid w:val="00EB04ED"/>
    <w:rsid w:val="00EB12B9"/>
    <w:rsid w:val="00EB1A2D"/>
    <w:rsid w:val="00EB3049"/>
    <w:rsid w:val="00EB4427"/>
    <w:rsid w:val="00EB62EE"/>
    <w:rsid w:val="00EB7694"/>
    <w:rsid w:val="00EB7E30"/>
    <w:rsid w:val="00EC08A7"/>
    <w:rsid w:val="00EC1963"/>
    <w:rsid w:val="00EC2DA7"/>
    <w:rsid w:val="00EC3672"/>
    <w:rsid w:val="00EC4084"/>
    <w:rsid w:val="00EC57AD"/>
    <w:rsid w:val="00EC6F3E"/>
    <w:rsid w:val="00ED26F4"/>
    <w:rsid w:val="00ED3F9E"/>
    <w:rsid w:val="00ED45AE"/>
    <w:rsid w:val="00ED5215"/>
    <w:rsid w:val="00ED5995"/>
    <w:rsid w:val="00ED6B79"/>
    <w:rsid w:val="00ED6B8B"/>
    <w:rsid w:val="00ED7EB4"/>
    <w:rsid w:val="00EE0062"/>
    <w:rsid w:val="00EE0819"/>
    <w:rsid w:val="00EE0864"/>
    <w:rsid w:val="00EE1F57"/>
    <w:rsid w:val="00EE2E0E"/>
    <w:rsid w:val="00EE3039"/>
    <w:rsid w:val="00EE37C3"/>
    <w:rsid w:val="00EE40D1"/>
    <w:rsid w:val="00EE4745"/>
    <w:rsid w:val="00EE4ACA"/>
    <w:rsid w:val="00EE555F"/>
    <w:rsid w:val="00EE7A59"/>
    <w:rsid w:val="00EE7F23"/>
    <w:rsid w:val="00EF4CA7"/>
    <w:rsid w:val="00EF5D3E"/>
    <w:rsid w:val="00EF648A"/>
    <w:rsid w:val="00F004BC"/>
    <w:rsid w:val="00F00A35"/>
    <w:rsid w:val="00F01157"/>
    <w:rsid w:val="00F03D74"/>
    <w:rsid w:val="00F04C5B"/>
    <w:rsid w:val="00F051F4"/>
    <w:rsid w:val="00F057B5"/>
    <w:rsid w:val="00F064FA"/>
    <w:rsid w:val="00F071C3"/>
    <w:rsid w:val="00F0765E"/>
    <w:rsid w:val="00F079CC"/>
    <w:rsid w:val="00F100E2"/>
    <w:rsid w:val="00F114FA"/>
    <w:rsid w:val="00F11C92"/>
    <w:rsid w:val="00F123A0"/>
    <w:rsid w:val="00F12F38"/>
    <w:rsid w:val="00F1330A"/>
    <w:rsid w:val="00F13586"/>
    <w:rsid w:val="00F2016C"/>
    <w:rsid w:val="00F21684"/>
    <w:rsid w:val="00F217F8"/>
    <w:rsid w:val="00F22100"/>
    <w:rsid w:val="00F2266C"/>
    <w:rsid w:val="00F22ADD"/>
    <w:rsid w:val="00F23ABA"/>
    <w:rsid w:val="00F2464A"/>
    <w:rsid w:val="00F24B7C"/>
    <w:rsid w:val="00F25BC6"/>
    <w:rsid w:val="00F270AB"/>
    <w:rsid w:val="00F27A55"/>
    <w:rsid w:val="00F302E0"/>
    <w:rsid w:val="00F302E2"/>
    <w:rsid w:val="00F31EA5"/>
    <w:rsid w:val="00F34248"/>
    <w:rsid w:val="00F349F4"/>
    <w:rsid w:val="00F43EE6"/>
    <w:rsid w:val="00F467C5"/>
    <w:rsid w:val="00F47F70"/>
    <w:rsid w:val="00F52B09"/>
    <w:rsid w:val="00F5353F"/>
    <w:rsid w:val="00F53B93"/>
    <w:rsid w:val="00F53FBE"/>
    <w:rsid w:val="00F56483"/>
    <w:rsid w:val="00F568B8"/>
    <w:rsid w:val="00F57143"/>
    <w:rsid w:val="00F57649"/>
    <w:rsid w:val="00F605F9"/>
    <w:rsid w:val="00F60FEB"/>
    <w:rsid w:val="00F620B2"/>
    <w:rsid w:val="00F626F2"/>
    <w:rsid w:val="00F62976"/>
    <w:rsid w:val="00F63ED1"/>
    <w:rsid w:val="00F67595"/>
    <w:rsid w:val="00F71490"/>
    <w:rsid w:val="00F7162D"/>
    <w:rsid w:val="00F7220A"/>
    <w:rsid w:val="00F72836"/>
    <w:rsid w:val="00F72853"/>
    <w:rsid w:val="00F745A0"/>
    <w:rsid w:val="00F75580"/>
    <w:rsid w:val="00F77542"/>
    <w:rsid w:val="00F776D2"/>
    <w:rsid w:val="00F77D9E"/>
    <w:rsid w:val="00F8272C"/>
    <w:rsid w:val="00F82DCE"/>
    <w:rsid w:val="00F83366"/>
    <w:rsid w:val="00F843A7"/>
    <w:rsid w:val="00F85364"/>
    <w:rsid w:val="00F85505"/>
    <w:rsid w:val="00F85B26"/>
    <w:rsid w:val="00F91336"/>
    <w:rsid w:val="00F91A53"/>
    <w:rsid w:val="00F926F3"/>
    <w:rsid w:val="00F93EE2"/>
    <w:rsid w:val="00F94B87"/>
    <w:rsid w:val="00F96821"/>
    <w:rsid w:val="00F9688A"/>
    <w:rsid w:val="00F96EFB"/>
    <w:rsid w:val="00F9796A"/>
    <w:rsid w:val="00FA0B1D"/>
    <w:rsid w:val="00FA415E"/>
    <w:rsid w:val="00FA5212"/>
    <w:rsid w:val="00FA624B"/>
    <w:rsid w:val="00FA67FA"/>
    <w:rsid w:val="00FA6DD7"/>
    <w:rsid w:val="00FA7575"/>
    <w:rsid w:val="00FA774D"/>
    <w:rsid w:val="00FB05DB"/>
    <w:rsid w:val="00FB2DD1"/>
    <w:rsid w:val="00FB3391"/>
    <w:rsid w:val="00FB3B20"/>
    <w:rsid w:val="00FB3DEA"/>
    <w:rsid w:val="00FB6D4F"/>
    <w:rsid w:val="00FB71EE"/>
    <w:rsid w:val="00FB7BDC"/>
    <w:rsid w:val="00FB7CE1"/>
    <w:rsid w:val="00FC2E59"/>
    <w:rsid w:val="00FC476B"/>
    <w:rsid w:val="00FC4FAE"/>
    <w:rsid w:val="00FC5A57"/>
    <w:rsid w:val="00FC6473"/>
    <w:rsid w:val="00FC6486"/>
    <w:rsid w:val="00FC6B51"/>
    <w:rsid w:val="00FC79BF"/>
    <w:rsid w:val="00FC79CF"/>
    <w:rsid w:val="00FD2527"/>
    <w:rsid w:val="00FD38F7"/>
    <w:rsid w:val="00FD3ED2"/>
    <w:rsid w:val="00FD3F23"/>
    <w:rsid w:val="00FD4093"/>
    <w:rsid w:val="00FD69FB"/>
    <w:rsid w:val="00FD7026"/>
    <w:rsid w:val="00FD7047"/>
    <w:rsid w:val="00FD7528"/>
    <w:rsid w:val="00FD7C9D"/>
    <w:rsid w:val="00FE100F"/>
    <w:rsid w:val="00FE1293"/>
    <w:rsid w:val="00FE1645"/>
    <w:rsid w:val="00FE2AA9"/>
    <w:rsid w:val="00FE33E2"/>
    <w:rsid w:val="00FE40F9"/>
    <w:rsid w:val="00FE4710"/>
    <w:rsid w:val="00FE4B04"/>
    <w:rsid w:val="00FE4D92"/>
    <w:rsid w:val="00FE6794"/>
    <w:rsid w:val="00FF045B"/>
    <w:rsid w:val="00FF3D6C"/>
    <w:rsid w:val="00FF56EA"/>
    <w:rsid w:val="00FF5F09"/>
    <w:rsid w:val="00FF6029"/>
    <w:rsid w:val="00FF62A6"/>
    <w:rsid w:val="00FF7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9488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rsid w:val="0015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D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0D24"/>
    <w:rPr>
      <w:rFonts w:ascii="Wingdings" w:hAnsi="Wingdings"/>
    </w:rPr>
  </w:style>
  <w:style w:type="paragraph" w:styleId="a5">
    <w:name w:val="Body Text"/>
    <w:basedOn w:val="a"/>
    <w:link w:val="a6"/>
    <w:uiPriority w:val="99"/>
    <w:semiHidden/>
    <w:unhideWhenUsed/>
    <w:rsid w:val="00F27A5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F27A55"/>
  </w:style>
  <w:style w:type="paragraph" w:styleId="a7">
    <w:name w:val="Body Text Indent"/>
    <w:basedOn w:val="a"/>
    <w:link w:val="a8"/>
    <w:uiPriority w:val="99"/>
    <w:unhideWhenUsed/>
    <w:rsid w:val="00F27A5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F27A55"/>
  </w:style>
  <w:style w:type="paragraph" w:styleId="a9">
    <w:name w:val="footer"/>
    <w:basedOn w:val="a"/>
    <w:link w:val="aa"/>
    <w:uiPriority w:val="99"/>
    <w:unhideWhenUsed/>
    <w:rsid w:val="00870D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0D24"/>
    <w:rPr>
      <w:rFonts w:ascii="Wingdings" w:hAnsi="Wingdings"/>
    </w:rPr>
  </w:style>
  <w:style w:type="table" w:styleId="ab">
    <w:name w:val="Table Grid"/>
    <w:basedOn w:val="a1"/>
    <w:uiPriority w:val="59"/>
    <w:rsid w:val="00F27A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F27A5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7A55"/>
    <w:rPr>
      <w:rFonts w:ascii="Tahoma" w:hAnsi="Tahoma" w:cs="Tahoma"/>
      <w:sz w:val="16"/>
      <w:szCs w:val="16"/>
    </w:rPr>
  </w:style>
  <w:style w:type="numbering" w:styleId="111111">
    <w:name w:val="Outline List 2"/>
    <w:basedOn w:val="a2"/>
    <w:uiPriority w:val="99"/>
    <w:semiHidden/>
    <w:unhideWhenUsed/>
    <w:rsid w:val="00E1198C"/>
    <w:pPr>
      <w:numPr>
        <w:numId w:val="1"/>
      </w:numPr>
    </w:pPr>
  </w:style>
  <w:style w:type="character" w:styleId="ae">
    <w:name w:val="page number"/>
    <w:basedOn w:val="a0"/>
    <w:uiPriority w:val="99"/>
    <w:semiHidden/>
    <w:unhideWhenUsed/>
    <w:rsid w:val="00F85505"/>
  </w:style>
  <w:style w:type="paragraph" w:customStyle="1" w:styleId="af">
    <w:name w:val="Заголовок"/>
    <w:basedOn w:val="1"/>
    <w:next w:val="a"/>
    <w:qFormat/>
    <w:rsid w:val="00154CF3"/>
    <w:pPr>
      <w:spacing w:before="0"/>
      <w:jc w:val="center"/>
    </w:pPr>
    <w:rPr>
      <w:rFonts w:ascii="Times New Roman" w:eastAsia="Times New Roman" w:hAnsi="Times New Roman" w:cs="Times New Roman"/>
      <w:bCs w:val="0"/>
      <w:color w:val="FFFFFF"/>
      <w:sz w:val="25"/>
      <w:szCs w:val="25"/>
      <w:lang w:eastAsia="ru-RU"/>
    </w:rPr>
  </w:style>
  <w:style w:type="paragraph" w:customStyle="1" w:styleId="af0">
    <w:name w:val="Раздел отчета"/>
    <w:basedOn w:val="af"/>
    <w:next w:val="a"/>
    <w:qFormat/>
    <w:rsid w:val="00154CF3"/>
    <w:rPr>
      <w:bCs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15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1">
    <w:name w:val="Подраздел"/>
    <w:basedOn w:val="af2"/>
    <w:autoRedefine/>
    <w:qFormat/>
    <w:rsid w:val="0096031B"/>
    <w:pPr>
      <w:ind w:firstLine="709"/>
      <w:outlineLvl w:val="1"/>
    </w:pPr>
    <w:rPr>
      <w:rFonts w:ascii="Times New Roman" w:eastAsia="Times New Roman" w:hAnsi="Times New Roman" w:cs="Times New Roman"/>
      <w:i w:val="0"/>
      <w:noProof/>
      <w:color w:val="auto"/>
      <w:spacing w:val="0"/>
      <w:sz w:val="28"/>
      <w:szCs w:val="28"/>
      <w:lang w:eastAsia="ru-RU"/>
    </w:rPr>
  </w:style>
  <w:style w:type="paragraph" w:styleId="af2">
    <w:name w:val="Subtitle"/>
    <w:basedOn w:val="a"/>
    <w:next w:val="a"/>
    <w:link w:val="af3"/>
    <w:uiPriority w:val="11"/>
    <w:rsid w:val="00154C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54C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Document Map"/>
    <w:basedOn w:val="a"/>
    <w:link w:val="af5"/>
    <w:uiPriority w:val="99"/>
    <w:semiHidden/>
    <w:unhideWhenUsed/>
    <w:rsid w:val="00341D6F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341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9488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rsid w:val="0015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0D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0D24"/>
    <w:rPr>
      <w:rFonts w:ascii="Wingdings" w:hAnsi="Wingdings"/>
    </w:rPr>
  </w:style>
  <w:style w:type="paragraph" w:styleId="a5">
    <w:name w:val="Body Text"/>
    <w:basedOn w:val="a"/>
    <w:link w:val="a6"/>
    <w:uiPriority w:val="99"/>
    <w:semiHidden/>
    <w:unhideWhenUsed/>
    <w:rsid w:val="00F27A5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F27A55"/>
  </w:style>
  <w:style w:type="paragraph" w:styleId="a7">
    <w:name w:val="Body Text Indent"/>
    <w:basedOn w:val="a"/>
    <w:link w:val="a8"/>
    <w:uiPriority w:val="99"/>
    <w:semiHidden/>
    <w:unhideWhenUsed/>
    <w:rsid w:val="00F27A5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F27A55"/>
  </w:style>
  <w:style w:type="paragraph" w:styleId="a9">
    <w:name w:val="footer"/>
    <w:basedOn w:val="a"/>
    <w:link w:val="aa"/>
    <w:uiPriority w:val="99"/>
    <w:unhideWhenUsed/>
    <w:rsid w:val="00870D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0D24"/>
    <w:rPr>
      <w:rFonts w:ascii="Wingdings" w:hAnsi="Wingdings"/>
    </w:rPr>
  </w:style>
  <w:style w:type="table" w:styleId="ab">
    <w:name w:val="Table Grid"/>
    <w:basedOn w:val="a1"/>
    <w:uiPriority w:val="59"/>
    <w:rsid w:val="00F27A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27A5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7A55"/>
    <w:rPr>
      <w:rFonts w:ascii="Tahoma" w:hAnsi="Tahoma" w:cs="Tahoma"/>
      <w:sz w:val="16"/>
      <w:szCs w:val="16"/>
    </w:rPr>
  </w:style>
  <w:style w:type="numbering" w:styleId="111111">
    <w:name w:val="Outline List 2"/>
    <w:basedOn w:val="a2"/>
    <w:uiPriority w:val="99"/>
    <w:semiHidden/>
    <w:unhideWhenUsed/>
    <w:rsid w:val="00E1198C"/>
    <w:pPr>
      <w:numPr>
        <w:numId w:val="1"/>
      </w:numPr>
    </w:pPr>
  </w:style>
  <w:style w:type="character" w:styleId="ae">
    <w:name w:val="page number"/>
    <w:basedOn w:val="a0"/>
    <w:uiPriority w:val="99"/>
    <w:semiHidden/>
    <w:unhideWhenUsed/>
    <w:rsid w:val="00F85505"/>
  </w:style>
  <w:style w:type="paragraph" w:customStyle="1" w:styleId="af">
    <w:name w:val="Заголовок"/>
    <w:basedOn w:val="1"/>
    <w:next w:val="a"/>
    <w:qFormat/>
    <w:rsid w:val="00154CF3"/>
    <w:pPr>
      <w:spacing w:before="0"/>
      <w:jc w:val="center"/>
    </w:pPr>
    <w:rPr>
      <w:rFonts w:ascii="Times New Roman" w:eastAsia="Times New Roman" w:hAnsi="Times New Roman" w:cs="Times New Roman"/>
      <w:bCs w:val="0"/>
      <w:color w:val="FFFFFF"/>
      <w:sz w:val="25"/>
      <w:szCs w:val="25"/>
      <w:lang w:eastAsia="ru-RU"/>
    </w:rPr>
  </w:style>
  <w:style w:type="paragraph" w:customStyle="1" w:styleId="af0">
    <w:name w:val="Раздел отчета"/>
    <w:basedOn w:val="af"/>
    <w:next w:val="a"/>
    <w:qFormat/>
    <w:rsid w:val="00154CF3"/>
    <w:rPr>
      <w:bCs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sid w:val="0015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1">
    <w:name w:val="Подраздел"/>
    <w:basedOn w:val="af2"/>
    <w:autoRedefine/>
    <w:qFormat/>
    <w:rsid w:val="00B26A2F"/>
    <w:pPr>
      <w:jc w:val="center"/>
      <w:outlineLvl w:val="1"/>
    </w:pPr>
    <w:rPr>
      <w:rFonts w:ascii="Times New Roman" w:eastAsia="Times New Roman" w:hAnsi="Times New Roman"/>
      <w:noProof/>
      <w:color w:val="003300"/>
      <w:spacing w:val="0"/>
      <w:sz w:val="28"/>
      <w:lang w:eastAsia="ru-RU"/>
    </w:rPr>
  </w:style>
  <w:style w:type="paragraph" w:styleId="af2">
    <w:name w:val="Subtitle"/>
    <w:basedOn w:val="a"/>
    <w:next w:val="a"/>
    <w:link w:val="af3"/>
    <w:uiPriority w:val="11"/>
    <w:rsid w:val="00154C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54C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Document Map"/>
    <w:basedOn w:val="a"/>
    <w:link w:val="af5"/>
    <w:uiPriority w:val="99"/>
    <w:semiHidden/>
    <w:unhideWhenUsed/>
    <w:rsid w:val="00341D6F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341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Индекс промышленного производства,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в % к соответствующему периоду 2018  года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8692155053651974"/>
          <c:y val="1.4925373134328361E-2"/>
        </c:manualLayout>
      </c:layout>
    </c:title>
    <c:plotArea>
      <c:layout>
        <c:manualLayout>
          <c:layoutTarget val="inner"/>
          <c:xMode val="edge"/>
          <c:yMode val="edge"/>
          <c:x val="2.2304880954908908E-2"/>
          <c:y val="0.39222840639867795"/>
          <c:w val="0.97769516491208364"/>
          <c:h val="0.3204693070082782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Мурманская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4408367669381506E-2"/>
                  <c:y val="-8.999057837021447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6548877129934212E-2"/>
                  <c:y val="-0.10409301981844386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6548877129934212E-2"/>
                  <c:y val="-0.10996121365035756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943958457835533E-2"/>
                  <c:y val="-0.10957419291266045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3706999791358883E-2"/>
                  <c:y val="-9.96231571946012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0127833785736582E-2"/>
                  <c:y val="-0.1230851657778269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5.2017474910200832E-2"/>
                  <c:y val="-0.10959554397576031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 -
февраль</c:v>
                </c:pt>
                <c:pt idx="2">
                  <c:v>январь -
март</c:v>
                </c:pt>
                <c:pt idx="3">
                  <c:v>январь -
апрель</c:v>
                </c:pt>
                <c:pt idx="4">
                  <c:v>январь -
май</c:v>
                </c:pt>
                <c:pt idx="5">
                  <c:v>январь -
июнь</c:v>
                </c:pt>
                <c:pt idx="6">
                  <c:v>январь -
июль</c:v>
                </c:pt>
                <c:pt idx="7">
                  <c:v>январь -
август</c:v>
                </c:pt>
                <c:pt idx="8">
                  <c:v>январь -
сентябрь</c:v>
                </c:pt>
                <c:pt idx="9">
                  <c:v>январь -
октябрь</c:v>
                </c:pt>
                <c:pt idx="10">
                  <c:v>январь -
ноябрь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103.8</c:v>
                </c:pt>
                <c:pt idx="1">
                  <c:v>102.6</c:v>
                </c:pt>
                <c:pt idx="2">
                  <c:v>102.8</c:v>
                </c:pt>
                <c:pt idx="3">
                  <c:v>103.6</c:v>
                </c:pt>
                <c:pt idx="4">
                  <c:v>105.2</c:v>
                </c:pt>
                <c:pt idx="5">
                  <c:v>105</c:v>
                </c:pt>
                <c:pt idx="6">
                  <c:v>106.1</c:v>
                </c:pt>
                <c:pt idx="7">
                  <c:v>106.3</c:v>
                </c:pt>
                <c:pt idx="8">
                  <c:v>106.4</c:v>
                </c:pt>
                <c:pt idx="9">
                  <c:v>106.1</c:v>
                </c:pt>
                <c:pt idx="10">
                  <c:v>105.1</c:v>
                </c:pt>
              </c:numCache>
            </c:numRef>
          </c:val>
          <c:smooth val="1"/>
        </c:ser>
        <c:marker val="1"/>
        <c:axId val="134357376"/>
        <c:axId val="134234880"/>
      </c:lineChart>
      <c:valAx>
        <c:axId val="134234880"/>
        <c:scaling>
          <c:orientation val="minMax"/>
          <c:max val="107"/>
          <c:min val="100"/>
        </c:scaling>
        <c:axPos val="r"/>
        <c:numFmt formatCode="General" sourceLinked="1"/>
        <c:tickLblPos val="none"/>
        <c:crossAx val="134357376"/>
        <c:crosses val="max"/>
        <c:crossBetween val="between"/>
        <c:majorUnit val="2"/>
      </c:valAx>
      <c:catAx>
        <c:axId val="1343573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34880"/>
        <c:crosses val="autoZero"/>
        <c:auto val="1"/>
        <c:lblAlgn val="ctr"/>
        <c:lblOffset val="100"/>
      </c:catAx>
    </c:plotArea>
    <c:plotVisOnly val="1"/>
    <c:dispBlanksAs val="gap"/>
  </c:chart>
  <c:spPr>
    <a:ln>
      <a:solidFill>
        <a:schemeClr val="bg1">
          <a:lumMod val="50000"/>
        </a:schemeClr>
      </a:solidFill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otX val="10"/>
      <c:rotY val="0"/>
      <c:perspective val="0"/>
    </c:view3D>
    <c:plotArea>
      <c:layout>
        <c:manualLayout>
          <c:layoutTarget val="inner"/>
          <c:xMode val="edge"/>
          <c:yMode val="edge"/>
          <c:x val="8.8317201946196966E-2"/>
          <c:y val="0.17227104008232577"/>
          <c:w val="0.60346046548204957"/>
          <c:h val="0.75348117668081738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 01.12.2018</c:v>
                </c:pt>
                <c:pt idx="1">
                  <c:v>на 01.12.2019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39.6</c:v>
                </c:pt>
                <c:pt idx="1">
                  <c:v>32.1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прибыль организаций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 01.12.2018</c:v>
                </c:pt>
                <c:pt idx="1">
                  <c:v>на 01.12.2019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 formatCode="0.0">
                  <c:v>28.3</c:v>
                </c:pt>
                <c:pt idx="1">
                  <c:v>34.4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 налоговые платежи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 01.12.2018</c:v>
                </c:pt>
                <c:pt idx="1">
                  <c:v>на 01.12.2019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27.9</c:v>
                </c:pt>
                <c:pt idx="1">
                  <c:v>30.3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9966"/>
            </a:solidFill>
          </c:spPr>
          <c:dLbls>
            <c:dLbl>
              <c:idx val="0"/>
              <c:layout>
                <c:manualLayout>
                  <c:x val="0"/>
                  <c:y val="-3.2229117427738221E-5"/>
                </c:manualLayout>
              </c:layout>
              <c:showVal val="1"/>
            </c:dLbl>
            <c:dLbl>
              <c:idx val="1"/>
              <c:layout>
                <c:manualLayout>
                  <c:x val="2.1324234993069626E-3"/>
                  <c:y val="-2.1802050024646215E-5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на 01.12.2018</c:v>
                </c:pt>
                <c:pt idx="1">
                  <c:v>на 01.12.2019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 formatCode="General">
                  <c:v>4.2</c:v>
                </c:pt>
                <c:pt idx="1">
                  <c:v>3.2</c:v>
                </c:pt>
              </c:numCache>
            </c:numRef>
          </c:val>
        </c:ser>
        <c:shape val="cylinder"/>
        <c:axId val="66127360"/>
        <c:axId val="66128896"/>
        <c:axId val="0"/>
      </c:bar3DChart>
      <c:catAx>
        <c:axId val="66127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 i="1"/>
            </a:pPr>
            <a:endParaRPr lang="ru-RU"/>
          </a:p>
        </c:txPr>
        <c:crossAx val="66128896"/>
        <c:crosses val="autoZero"/>
        <c:auto val="1"/>
        <c:lblAlgn val="ctr"/>
        <c:lblOffset val="100"/>
      </c:catAx>
      <c:valAx>
        <c:axId val="66128896"/>
        <c:scaling>
          <c:orientation val="minMax"/>
        </c:scaling>
        <c:axPos val="l"/>
        <c:numFmt formatCode="0%" sourceLinked="1"/>
        <c:tickLblPos val="nextTo"/>
        <c:crossAx val="6612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484306196622858"/>
          <c:y val="0.37232906543199934"/>
          <c:w val="0.28089168677609699"/>
          <c:h val="0.37509228157836638"/>
        </c:manualLayout>
      </c:layout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cene3d>
      <a:camera prst="orthographicFront"/>
      <a:lightRig rig="threePt" dir="t"/>
    </a:scene3d>
    <a:sp3d prstMaterial="metal"/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Индекс производства в добыче полезных ископаемых,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в % к соответствующему периоду 2018  года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6765877732987609"/>
          <c:y val="2.6411663557000652E-2"/>
        </c:manualLayout>
      </c:layout>
    </c:title>
    <c:plotArea>
      <c:layout>
        <c:manualLayout>
          <c:layoutTarget val="inner"/>
          <c:xMode val="edge"/>
          <c:yMode val="edge"/>
          <c:x val="2.0163730360049398E-2"/>
          <c:y val="0.45623134571375279"/>
          <c:w val="0.97769516491208364"/>
          <c:h val="0.2746851137001319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Мурманская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2280591417524584E-2"/>
                  <c:y val="-8.894485091418456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21380856387034E-2"/>
                  <c:y val="-0.10408440000596046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4421380856387034E-2"/>
                  <c:y val="-0.10408440000596046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4421380856387034E-2"/>
                  <c:y val="-0.10408440000596046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421380856387034E-2"/>
                  <c:y val="-0.10408440000596046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4421380856387034E-2"/>
                  <c:y val="-0.10408440000596046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 -
февраль</c:v>
                </c:pt>
                <c:pt idx="2">
                  <c:v>январь -
март</c:v>
                </c:pt>
                <c:pt idx="3">
                  <c:v>январь -
апрель</c:v>
                </c:pt>
                <c:pt idx="4">
                  <c:v>январь -
май</c:v>
                </c:pt>
                <c:pt idx="5">
                  <c:v>январь -
июнь</c:v>
                </c:pt>
                <c:pt idx="6">
                  <c:v>январь -
июль</c:v>
                </c:pt>
                <c:pt idx="7">
                  <c:v>январь -
август</c:v>
                </c:pt>
                <c:pt idx="8">
                  <c:v>январь -
сентябрь</c:v>
                </c:pt>
                <c:pt idx="9">
                  <c:v>январь -
октябрь</c:v>
                </c:pt>
                <c:pt idx="10">
                  <c:v>январь -
ноябрь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105.6</c:v>
                </c:pt>
                <c:pt idx="1">
                  <c:v>102.3</c:v>
                </c:pt>
                <c:pt idx="2">
                  <c:v>102.9</c:v>
                </c:pt>
                <c:pt idx="3">
                  <c:v>101.9</c:v>
                </c:pt>
                <c:pt idx="4">
                  <c:v>101.9</c:v>
                </c:pt>
                <c:pt idx="5">
                  <c:v>101.2</c:v>
                </c:pt>
                <c:pt idx="6">
                  <c:v>101.8</c:v>
                </c:pt>
                <c:pt idx="7">
                  <c:v>102.1</c:v>
                </c:pt>
                <c:pt idx="8">
                  <c:v>102.1</c:v>
                </c:pt>
                <c:pt idx="9">
                  <c:v>101.8</c:v>
                </c:pt>
                <c:pt idx="10">
                  <c:v>101.4</c:v>
                </c:pt>
              </c:numCache>
            </c:numRef>
          </c:val>
          <c:smooth val="1"/>
        </c:ser>
        <c:marker val="1"/>
        <c:axId val="141817344"/>
        <c:axId val="141815808"/>
      </c:lineChart>
      <c:valAx>
        <c:axId val="141815808"/>
        <c:scaling>
          <c:logBase val="10"/>
          <c:orientation val="minMax"/>
          <c:max val="106"/>
          <c:min val="98"/>
        </c:scaling>
        <c:delete val="1"/>
        <c:axPos val="r"/>
        <c:numFmt formatCode="General" sourceLinked="1"/>
        <c:tickLblPos val="none"/>
        <c:crossAx val="141817344"/>
        <c:crosses val="max"/>
        <c:crossBetween val="between"/>
        <c:majorUnit val="2"/>
      </c:valAx>
      <c:catAx>
        <c:axId val="1418173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815808"/>
        <c:crosses val="autoZero"/>
        <c:auto val="1"/>
        <c:lblAlgn val="ctr"/>
        <c:lblOffset val="100"/>
      </c:catAx>
    </c:plotArea>
    <c:plotVisOnly val="1"/>
    <c:dispBlanksAs val="gap"/>
  </c:chart>
  <c:spPr>
    <a:ln>
      <a:solidFill>
        <a:schemeClr val="bg1">
          <a:lumMod val="50000"/>
        </a:scheme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Индекс производства в обрабатывающих производствах,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в % к соответствующему периоду 2018  года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6980014466875407"/>
          <c:y val="2.2009719630832879E-2"/>
        </c:manualLayout>
      </c:layout>
    </c:title>
    <c:plotArea>
      <c:layout>
        <c:manualLayout>
          <c:layoutTarget val="inner"/>
          <c:xMode val="edge"/>
          <c:yMode val="edge"/>
          <c:x val="2.2304825823635899E-2"/>
          <c:y val="0.45970972378452696"/>
          <c:w val="0.97769516491208364"/>
          <c:h val="0.285324786866735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Мурманская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6552416276433813E-2"/>
                  <c:y val="-7.723193699095372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12075298207114E-2"/>
                  <c:y val="-8.3804867798698876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6552416276433813E-2"/>
                  <c:y val="-9.037779860643513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6552416276433813E-2"/>
                  <c:y val="-9.037779860643513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4412075298207114E-2"/>
                  <c:y val="-8.380486779869887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4412075298207114E-2"/>
                  <c:y val="-7.7231936990953723E-2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 -
февраль</c:v>
                </c:pt>
                <c:pt idx="2">
                  <c:v>январь -
март</c:v>
                </c:pt>
                <c:pt idx="3">
                  <c:v>январь -
апрель</c:v>
                </c:pt>
                <c:pt idx="4">
                  <c:v>январь -
май</c:v>
                </c:pt>
                <c:pt idx="5">
                  <c:v>январь -
июнь</c:v>
                </c:pt>
                <c:pt idx="6">
                  <c:v>январь -
июль</c:v>
                </c:pt>
                <c:pt idx="7">
                  <c:v>январь -
август</c:v>
                </c:pt>
                <c:pt idx="8">
                  <c:v>январь -
сентябрь</c:v>
                </c:pt>
                <c:pt idx="9">
                  <c:v>январь -
октябрь</c:v>
                </c:pt>
                <c:pt idx="10">
                  <c:v>январь -
ноябрь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104.1</c:v>
                </c:pt>
                <c:pt idx="1">
                  <c:v>103.1</c:v>
                </c:pt>
                <c:pt idx="2">
                  <c:v>104.8</c:v>
                </c:pt>
                <c:pt idx="3">
                  <c:v>107.6</c:v>
                </c:pt>
                <c:pt idx="4">
                  <c:v>110.1</c:v>
                </c:pt>
                <c:pt idx="5">
                  <c:v>109.9</c:v>
                </c:pt>
                <c:pt idx="6">
                  <c:v>111.9</c:v>
                </c:pt>
                <c:pt idx="7">
                  <c:v>112</c:v>
                </c:pt>
                <c:pt idx="8">
                  <c:v>112</c:v>
                </c:pt>
                <c:pt idx="9">
                  <c:v>111.4</c:v>
                </c:pt>
                <c:pt idx="10">
                  <c:v>109.3</c:v>
                </c:pt>
              </c:numCache>
            </c:numRef>
          </c:val>
          <c:smooth val="1"/>
        </c:ser>
        <c:marker val="1"/>
        <c:axId val="133071232"/>
        <c:axId val="54041216"/>
      </c:lineChart>
      <c:valAx>
        <c:axId val="54041216"/>
        <c:scaling>
          <c:orientation val="minMax"/>
          <c:max val="113"/>
          <c:min val="100"/>
        </c:scaling>
        <c:axPos val="r"/>
        <c:numFmt formatCode="General" sourceLinked="1"/>
        <c:tickLblPos val="none"/>
        <c:crossAx val="133071232"/>
        <c:crosses val="max"/>
        <c:crossBetween val="between"/>
        <c:majorUnit val="2"/>
      </c:valAx>
      <c:catAx>
        <c:axId val="1330712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041216"/>
        <c:crosses val="autoZero"/>
        <c:auto val="1"/>
        <c:lblAlgn val="ctr"/>
        <c:lblOffset val="100"/>
      </c:catAx>
    </c:plotArea>
    <c:plotVisOnly val="1"/>
    <c:dispBlanksAs val="gap"/>
  </c:chart>
  <c:spPr>
    <a:ln>
      <a:solidFill>
        <a:schemeClr val="bg1">
          <a:lumMod val="50000"/>
        </a:schemeClr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 anchor="t" anchorCtr="0"/>
          <a:lstStyle/>
          <a:p>
            <a:pPr algn="ctr">
              <a:defRPr sz="1000"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Индекс производства в энергетике, </a:t>
            </a:r>
          </a:p>
          <a:p>
            <a:pPr algn="ctr">
              <a:defRPr sz="1000"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 % к соответствующему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периоду 2018 года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9209483836972538"/>
          <c:y val="2.0921639399894873E-2"/>
        </c:manualLayout>
      </c:layout>
    </c:title>
    <c:plotArea>
      <c:layout>
        <c:manualLayout>
          <c:layoutTarget val="inner"/>
          <c:xMode val="edge"/>
          <c:yMode val="edge"/>
          <c:x val="1.375542013606831E-2"/>
          <c:y val="0.37757810890754451"/>
          <c:w val="0.97769516491208364"/>
          <c:h val="0.3227256777705230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Мурманская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3.3178684873452387E-2"/>
                  <c:y val="-0.10081479899611689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4416626524140079E-2"/>
                  <c:y val="-0.10872184205463845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9065225738097217E-2"/>
                  <c:y val="-0.10081479899611689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1205786052513509E-2"/>
                  <c:y val="-0.10081479899611689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1205786052513509E-2"/>
                  <c:y val="-0.10081479899611689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 -
февраль</c:v>
                </c:pt>
                <c:pt idx="2">
                  <c:v>январь -
март</c:v>
                </c:pt>
                <c:pt idx="3">
                  <c:v>январь -
апрель</c:v>
                </c:pt>
                <c:pt idx="4">
                  <c:v>январь -
май</c:v>
                </c:pt>
                <c:pt idx="5">
                  <c:v>январь -
июнь</c:v>
                </c:pt>
                <c:pt idx="6">
                  <c:v>январь -
июль</c:v>
                </c:pt>
                <c:pt idx="7">
                  <c:v>январь -
август</c:v>
                </c:pt>
                <c:pt idx="8">
                  <c:v>январь -
сентябрь</c:v>
                </c:pt>
                <c:pt idx="9">
                  <c:v>январь -
октябрь</c:v>
                </c:pt>
                <c:pt idx="10">
                  <c:v>январь -
ноябрь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99</c:v>
                </c:pt>
                <c:pt idx="1">
                  <c:v>100.8</c:v>
                </c:pt>
                <c:pt idx="2">
                  <c:v>95.7</c:v>
                </c:pt>
                <c:pt idx="3">
                  <c:v>93.6</c:v>
                </c:pt>
                <c:pt idx="4">
                  <c:v>94.8</c:v>
                </c:pt>
                <c:pt idx="5">
                  <c:v>95.1</c:v>
                </c:pt>
                <c:pt idx="6">
                  <c:v>95</c:v>
                </c:pt>
                <c:pt idx="7">
                  <c:v>95.6</c:v>
                </c:pt>
                <c:pt idx="8">
                  <c:v>96.3</c:v>
                </c:pt>
                <c:pt idx="9">
                  <c:v>96.8</c:v>
                </c:pt>
                <c:pt idx="10">
                  <c:v>97.7</c:v>
                </c:pt>
              </c:numCache>
            </c:numRef>
          </c:val>
          <c:smooth val="1"/>
        </c:ser>
        <c:marker val="1"/>
        <c:axId val="134227840"/>
        <c:axId val="134226304"/>
      </c:lineChart>
      <c:valAx>
        <c:axId val="134226304"/>
        <c:scaling>
          <c:orientation val="minMax"/>
          <c:max val="105"/>
          <c:min val="90"/>
        </c:scaling>
        <c:delete val="1"/>
        <c:axPos val="r"/>
        <c:numFmt formatCode="General" sourceLinked="1"/>
        <c:tickLblPos val="none"/>
        <c:crossAx val="134227840"/>
        <c:crosses val="max"/>
        <c:crossBetween val="between"/>
      </c:valAx>
      <c:catAx>
        <c:axId val="134227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26304"/>
        <c:crosses val="autoZero"/>
        <c:auto val="1"/>
        <c:lblAlgn val="ctr"/>
        <c:lblOffset val="100"/>
      </c:catAx>
    </c:plotArea>
    <c:plotVisOnly val="1"/>
    <c:dispBlanksAs val="gap"/>
  </c:chart>
  <c:spPr>
    <a:ln>
      <a:solidFill>
        <a:schemeClr val="bg1">
          <a:lumMod val="50000"/>
        </a:schemeClr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Объем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переработки грузов в морских портах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, млн тонн</a:t>
            </a:r>
          </a:p>
        </c:rich>
      </c:tx>
      <c:layout>
        <c:manualLayout>
          <c:xMode val="edge"/>
          <c:yMode val="edge"/>
          <c:x val="0.25157374070414612"/>
          <c:y val="3.4163691743359641E-2"/>
        </c:manualLayout>
      </c:layout>
    </c:title>
    <c:plotArea>
      <c:layout>
        <c:manualLayout>
          <c:layoutTarget val="inner"/>
          <c:xMode val="edge"/>
          <c:yMode val="edge"/>
          <c:x val="0"/>
          <c:y val="0.25313459383344727"/>
          <c:w val="0.99255504866763256"/>
          <c:h val="0.4866556067042853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Lbls>
            <c:dLbl>
              <c:idx val="2"/>
              <c:layout>
                <c:manualLayout>
                  <c:x val="-4.2815788777240084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-6.4223683165860104E-3"/>
                  <c:y val="7.3604712556210334E-3"/>
                </c:manualLayout>
              </c:layout>
              <c:showVal val="1"/>
            </c:dLbl>
            <c:dLbl>
              <c:idx val="5"/>
              <c:layout>
                <c:manualLayout>
                  <c:x val="-6.4223683165860104E-3"/>
                  <c:y val="7.3604712556210533E-3"/>
                </c:manualLayout>
              </c:layout>
              <c:showVal val="1"/>
            </c:dLbl>
            <c:dLbl>
              <c:idx val="7"/>
              <c:layout>
                <c:manualLayout>
                  <c:x val="-2.1418577552980212E-3"/>
                  <c:y val="0"/>
                </c:manualLayout>
              </c:layout>
              <c:showVal val="1"/>
            </c:dLbl>
            <c:dLbl>
              <c:idx val="8"/>
              <c:layout>
                <c:manualLayout>
                  <c:x val="-1.2844736633172043E-2"/>
                  <c:y val="8.6336295506705685E-3"/>
                </c:manualLayout>
              </c:layout>
              <c:showVal val="1"/>
            </c:dLbl>
            <c:dLbl>
              <c:idx val="9"/>
              <c:layout>
                <c:manualLayout>
                  <c:x val="-1.4985526072034025E-2"/>
                  <c:y val="3.4534518202682274E-2"/>
                </c:manualLayout>
              </c:layout>
              <c:showVal val="1"/>
            </c:dLbl>
            <c:dLbl>
              <c:idx val="10"/>
              <c:layout>
                <c:manualLayout>
                  <c:x val="-6.4210229346805215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январь-февраль</c:v>
                </c:pt>
                <c:pt idx="2">
                  <c:v>январь-март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  <c:pt idx="7">
                  <c:v>январь-август</c:v>
                </c:pt>
                <c:pt idx="8">
                  <c:v>январь-сентябрь</c:v>
                </c:pt>
                <c:pt idx="9">
                  <c:v>январь-октябрь</c:v>
                </c:pt>
                <c:pt idx="10">
                  <c:v>январь-ноябрь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4.8</c:v>
                </c:pt>
                <c:pt idx="1">
                  <c:v>9</c:v>
                </c:pt>
                <c:pt idx="2">
                  <c:v>15.3</c:v>
                </c:pt>
                <c:pt idx="3">
                  <c:v>20.399999999999999</c:v>
                </c:pt>
                <c:pt idx="4">
                  <c:v>25.3</c:v>
                </c:pt>
                <c:pt idx="5">
                  <c:v>29.8</c:v>
                </c:pt>
                <c:pt idx="6">
                  <c:v>35.300000000000004</c:v>
                </c:pt>
                <c:pt idx="7">
                  <c:v>41.5</c:v>
                </c:pt>
                <c:pt idx="8">
                  <c:v>46.7</c:v>
                </c:pt>
                <c:pt idx="9">
                  <c:v>52.2</c:v>
                </c:pt>
                <c:pt idx="10">
                  <c:v>57.8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4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layout>
                <c:manualLayout>
                  <c:x val="1.4982386847587867E-2"/>
                  <c:y val="-9.5072760606040203E-3"/>
                </c:manualLayout>
              </c:layout>
              <c:showVal val="1"/>
            </c:dLbl>
            <c:dLbl>
              <c:idx val="1"/>
              <c:layout>
                <c:manualLayout>
                  <c:x val="1.4976319739303081E-2"/>
                  <c:y val="-2.1477460643994483E-3"/>
                </c:manualLayout>
              </c:layout>
              <c:showVal val="1"/>
            </c:dLbl>
            <c:dLbl>
              <c:idx val="2"/>
              <c:layout>
                <c:manualLayout>
                  <c:x val="1.4977499454802909E-2"/>
                  <c:y val="-9.5072760606040203E-3"/>
                </c:manualLayout>
              </c:layout>
              <c:showVal val="1"/>
            </c:dLbl>
            <c:dLbl>
              <c:idx val="3"/>
              <c:layout>
                <c:manualLayout>
                  <c:x val="1.9260203780684822E-2"/>
                  <c:y val="6.0270141388915717E-3"/>
                </c:manualLayout>
              </c:layout>
              <c:showVal val="1"/>
            </c:dLbl>
            <c:dLbl>
              <c:idx val="4"/>
              <c:layout>
                <c:manualLayout>
                  <c:x val="1.0701704891134181E-2"/>
                  <c:y val="2.2081584406270612E-2"/>
                </c:manualLayout>
              </c:layout>
              <c:showVal val="1"/>
            </c:dLbl>
            <c:dLbl>
              <c:idx val="5"/>
              <c:layout>
                <c:manualLayout>
                  <c:x val="1.2842888523289443E-2"/>
                  <c:y val="-2.1469974599852251E-3"/>
                </c:manualLayout>
              </c:layout>
              <c:showVal val="1"/>
            </c:dLbl>
            <c:dLbl>
              <c:idx val="6"/>
              <c:layout>
                <c:manualLayout>
                  <c:x val="1.9263068804041581E-2"/>
                  <c:y val="2.6731915027410295E-2"/>
                </c:manualLayout>
              </c:layout>
              <c:showVal val="1"/>
            </c:dLbl>
            <c:dLbl>
              <c:idx val="7"/>
              <c:layout>
                <c:manualLayout>
                  <c:x val="1.2842045869361001E-2"/>
                  <c:y val="0"/>
                </c:manualLayout>
              </c:layout>
              <c:showVal val="1"/>
            </c:dLbl>
            <c:dLbl>
              <c:idx val="8"/>
              <c:layout>
                <c:manualLayout>
                  <c:x val="1.0701704891134181E-2"/>
                  <c:y val="2.1787255950644518E-17"/>
                </c:manualLayout>
              </c:layout>
              <c:showVal val="1"/>
            </c:dLbl>
            <c:dLbl>
              <c:idx val="9"/>
              <c:layout>
                <c:manualLayout>
                  <c:x val="1.0586962322611575E-2"/>
                  <c:y val="1.7267259101341137E-2"/>
                </c:manualLayout>
              </c:layout>
              <c:showVal val="1"/>
            </c:dLbl>
            <c:dLbl>
              <c:idx val="10"/>
              <c:layout>
                <c:manualLayout>
                  <c:x val="1.070170489113418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январь-февраль</c:v>
                </c:pt>
                <c:pt idx="2">
                  <c:v>январь-март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  <c:pt idx="7">
                  <c:v>январь-август</c:v>
                </c:pt>
                <c:pt idx="8">
                  <c:v>январь-сентябрь</c:v>
                </c:pt>
                <c:pt idx="9">
                  <c:v>январь-октябрь</c:v>
                </c:pt>
                <c:pt idx="10">
                  <c:v>январь-ноябрь</c:v>
                </c:pt>
              </c:strCache>
            </c:strRef>
          </c:cat>
          <c:val>
            <c:numRef>
              <c:f>Лист1!$C$2:$C$12</c:f>
              <c:numCache>
                <c:formatCode>#,##0.0</c:formatCode>
                <c:ptCount val="11"/>
                <c:pt idx="0">
                  <c:v>5.6</c:v>
                </c:pt>
                <c:pt idx="1">
                  <c:v>11.1</c:v>
                </c:pt>
                <c:pt idx="2">
                  <c:v>16.600000000000001</c:v>
                </c:pt>
                <c:pt idx="3">
                  <c:v>21.9</c:v>
                </c:pt>
                <c:pt idx="4">
                  <c:v>27.1</c:v>
                </c:pt>
                <c:pt idx="5">
                  <c:v>32.200000000000003</c:v>
                </c:pt>
                <c:pt idx="6">
                  <c:v>37.700000000000003</c:v>
                </c:pt>
                <c:pt idx="7">
                  <c:v>43.1</c:v>
                </c:pt>
                <c:pt idx="8">
                  <c:v>48.3</c:v>
                </c:pt>
                <c:pt idx="9">
                  <c:v>53.8</c:v>
                </c:pt>
                <c:pt idx="10">
                  <c:v>59.1</c:v>
                </c:pt>
              </c:numCache>
            </c:numRef>
          </c:val>
        </c:ser>
        <c:dLbls>
          <c:showVal val="1"/>
        </c:dLbls>
        <c:gapWidth val="197"/>
        <c:axId val="135683072"/>
        <c:axId val="136815360"/>
      </c:barChart>
      <c:catAx>
        <c:axId val="135683072"/>
        <c:scaling>
          <c:orientation val="minMax"/>
        </c:scaling>
        <c:axPos val="b"/>
        <c:numFmt formatCode="General" sourceLinked="1"/>
        <c:tickLblPos val="nextTo"/>
        <c:txPr>
          <a:bodyPr rot="0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815360"/>
        <c:crosses val="autoZero"/>
        <c:auto val="1"/>
        <c:lblAlgn val="ctr"/>
        <c:lblOffset val="100"/>
        <c:tickLblSkip val="1"/>
      </c:catAx>
      <c:valAx>
        <c:axId val="136815360"/>
        <c:scaling>
          <c:orientation val="minMax"/>
          <c:max val="61"/>
          <c:min val="1"/>
        </c:scaling>
        <c:axPos val="l"/>
        <c:numFmt formatCode="#,##0.0" sourceLinked="1"/>
        <c:tickLblPos val="none"/>
        <c:crossAx val="13568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6602854723542745E-2"/>
          <c:y val="0.25620617190673795"/>
          <c:w val="8.974072565278525E-2"/>
          <c:h val="0.21610784113607043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Вылов водных биоресурсов, тыс. тонн</a:t>
            </a:r>
          </a:p>
        </c:rich>
      </c:tx>
      <c:layout>
        <c:manualLayout>
          <c:xMode val="edge"/>
          <c:yMode val="edge"/>
          <c:x val="0.30293100786375182"/>
          <c:y val="2.5845020234412298E-2"/>
        </c:manualLayout>
      </c:layout>
    </c:title>
    <c:plotArea>
      <c:layout>
        <c:manualLayout>
          <c:layoutTarget val="inner"/>
          <c:xMode val="edge"/>
          <c:yMode val="edge"/>
          <c:x val="1.0642719116143681E-3"/>
          <c:y val="0.22362098064007918"/>
          <c:w val="0.98395338230440921"/>
          <c:h val="0.5788360880493993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Lbls>
            <c:dLbl>
              <c:idx val="8"/>
              <c:layout>
                <c:manualLayout>
                  <c:x val="-1.2844736633172043E-2"/>
                  <c:y val="7.1624309629070675E-3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 val="-1.2844736633172043E-2"/>
                  <c:y val="0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 val="-6.4196489109175367E-3"/>
                  <c:y val="-2.120206233183731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январь-февраль</c:v>
                </c:pt>
                <c:pt idx="2">
                  <c:v>январь-март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  <c:pt idx="7">
                  <c:v>январь-август</c:v>
                </c:pt>
                <c:pt idx="8">
                  <c:v>январь-сентябрь</c:v>
                </c:pt>
                <c:pt idx="9">
                  <c:v>январь-октябрь</c:v>
                </c:pt>
                <c:pt idx="10">
                  <c:v>январь-ноябрь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35.700000000000003</c:v>
                </c:pt>
                <c:pt idx="1">
                  <c:v>98.2</c:v>
                </c:pt>
                <c:pt idx="2">
                  <c:v>175.3</c:v>
                </c:pt>
                <c:pt idx="3">
                  <c:v>237.8</c:v>
                </c:pt>
                <c:pt idx="4">
                  <c:v>298.10000000000002</c:v>
                </c:pt>
                <c:pt idx="5">
                  <c:v>361.4</c:v>
                </c:pt>
                <c:pt idx="6">
                  <c:v>431.5</c:v>
                </c:pt>
                <c:pt idx="7">
                  <c:v>490.6</c:v>
                </c:pt>
                <c:pt idx="8">
                  <c:v>539.4</c:v>
                </c:pt>
                <c:pt idx="9">
                  <c:v>596.29999999999995</c:v>
                </c:pt>
                <c:pt idx="10">
                  <c:v>636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dLbls>
            <c:dLbl>
              <c:idx val="0"/>
              <c:layout>
                <c:manualLayout>
                  <c:x val="1.498552607203402E-2"/>
                  <c:y val="1.4324861925814135E-2"/>
                </c:manualLayout>
              </c:layout>
              <c:showVal val="1"/>
            </c:dLbl>
            <c:dLbl>
              <c:idx val="1"/>
              <c:layout>
                <c:manualLayout>
                  <c:x val="1.9267104949758217E-2"/>
                  <c:y val="2.1486728917779453E-2"/>
                </c:manualLayout>
              </c:layout>
              <c:showVal val="1"/>
            </c:dLbl>
            <c:dLbl>
              <c:idx val="2"/>
              <c:layout>
                <c:manualLayout>
                  <c:x val="2.1407894388620272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712631551089603E-2"/>
                  <c:y val="3.5812154814535334E-2"/>
                </c:manualLayout>
              </c:layout>
              <c:showVal val="1"/>
            </c:dLbl>
            <c:dLbl>
              <c:idx val="4"/>
              <c:layout>
                <c:manualLayout>
                  <c:x val="2.354410450447051E-2"/>
                  <c:y val="7.067354110612439E-3"/>
                </c:manualLayout>
              </c:layout>
              <c:showVal val="1"/>
            </c:dLbl>
            <c:dLbl>
              <c:idx val="5"/>
              <c:layout>
                <c:manualLayout>
                  <c:x val="1.9267034479411967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1.712631551089603E-2"/>
                  <c:y val="7.1624309629070675E-3"/>
                </c:manualLayout>
              </c:layout>
              <c:showVal val="1"/>
            </c:dLbl>
            <c:dLbl>
              <c:idx val="7"/>
              <c:layout>
                <c:manualLayout>
                  <c:x val="1.712631551089603E-2"/>
                  <c:y val="1.6413714677363333E-17"/>
                </c:manualLayout>
              </c:layout>
              <c:showVal val="1"/>
            </c:dLbl>
            <c:dLbl>
              <c:idx val="8"/>
              <c:layout>
                <c:manualLayout>
                  <c:x val="1.0703947194310021E-2"/>
                  <c:y val="-8.2068573386816925E-18"/>
                </c:manualLayout>
              </c:layout>
              <c:showVal val="1"/>
            </c:dLbl>
            <c:dLbl>
              <c:idx val="9"/>
              <c:layout>
                <c:manualLayout>
                  <c:x val="1.4981876707694007E-2"/>
                  <c:y val="0"/>
                </c:manualLayout>
              </c:layout>
              <c:showVal val="1"/>
            </c:dLbl>
            <c:dLbl>
              <c:idx val="10"/>
              <c:layout>
                <c:manualLayout>
                  <c:x val="1.7119063762446696E-2"/>
                  <c:y val="-7.067354110612423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Лист1!$A$2:$A$12</c:f>
              <c:strCache>
                <c:ptCount val="11"/>
                <c:pt idx="0">
                  <c:v>январь</c:v>
                </c:pt>
                <c:pt idx="1">
                  <c:v>январь-февраль</c:v>
                </c:pt>
                <c:pt idx="2">
                  <c:v>январь-март</c:v>
                </c:pt>
                <c:pt idx="3">
                  <c:v>январь-апрель</c:v>
                </c:pt>
                <c:pt idx="4">
                  <c:v>январь-май</c:v>
                </c:pt>
                <c:pt idx="5">
                  <c:v>январь-июнь</c:v>
                </c:pt>
                <c:pt idx="6">
                  <c:v>январь-июль</c:v>
                </c:pt>
                <c:pt idx="7">
                  <c:v>январь-август</c:v>
                </c:pt>
                <c:pt idx="8">
                  <c:v>январь-сентябрь</c:v>
                </c:pt>
                <c:pt idx="9">
                  <c:v>январь-октябрь</c:v>
                </c:pt>
                <c:pt idx="10">
                  <c:v>январь-ноябрь</c:v>
                </c:pt>
              </c:strCache>
            </c:strRef>
          </c:cat>
          <c:val>
            <c:numRef>
              <c:f>Лист1!$C$2:$C$12</c:f>
              <c:numCache>
                <c:formatCode>#,##0.0</c:formatCode>
                <c:ptCount val="11"/>
                <c:pt idx="0">
                  <c:v>41.8</c:v>
                </c:pt>
                <c:pt idx="1">
                  <c:v>100</c:v>
                </c:pt>
                <c:pt idx="2">
                  <c:v>158.5</c:v>
                </c:pt>
                <c:pt idx="3">
                  <c:v>213.3</c:v>
                </c:pt>
                <c:pt idx="4">
                  <c:v>280.2</c:v>
                </c:pt>
                <c:pt idx="5">
                  <c:v>333.6</c:v>
                </c:pt>
                <c:pt idx="6">
                  <c:v>397</c:v>
                </c:pt>
                <c:pt idx="7">
                  <c:v>456.3</c:v>
                </c:pt>
                <c:pt idx="8">
                  <c:v>513</c:v>
                </c:pt>
                <c:pt idx="9">
                  <c:v>575.4</c:v>
                </c:pt>
                <c:pt idx="10">
                  <c:v>625.79999999999995</c:v>
                </c:pt>
              </c:numCache>
            </c:numRef>
          </c:val>
        </c:ser>
        <c:dLbls>
          <c:showVal val="1"/>
        </c:dLbls>
        <c:axId val="66258816"/>
        <c:axId val="66260352"/>
      </c:barChart>
      <c:catAx>
        <c:axId val="66258816"/>
        <c:scaling>
          <c:orientation val="minMax"/>
        </c:scaling>
        <c:axPos val="b"/>
        <c:numFmt formatCode="General" sourceLinked="1"/>
        <c:tickLblPos val="low"/>
        <c:txPr>
          <a:bodyPr rot="0" vert="horz" anchor="ctr" anchorCtr="0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260352"/>
        <c:crosses val="autoZero"/>
        <c:lblAlgn val="ctr"/>
        <c:lblOffset val="100"/>
        <c:tickLblSkip val="1"/>
        <c:tickMarkSkip val="1"/>
      </c:catAx>
      <c:valAx>
        <c:axId val="66260352"/>
        <c:scaling>
          <c:orientation val="minMax"/>
          <c:max val="640"/>
          <c:min val="20"/>
        </c:scaling>
        <c:axPos val="l"/>
        <c:numFmt formatCode="#,##0.0" sourceLinked="1"/>
        <c:tickLblPos val="none"/>
        <c:crossAx val="66258816"/>
        <c:crosses val="autoZero"/>
        <c:crossBetween val="between"/>
        <c:majorUnit val="5000"/>
      </c:valAx>
    </c:plotArea>
    <c:legend>
      <c:legendPos val="r"/>
      <c:layout>
        <c:manualLayout>
          <c:xMode val="edge"/>
          <c:yMode val="edge"/>
          <c:x val="2.8151212554937792E-2"/>
          <c:y val="0.24199535690056712"/>
          <c:w val="0.10696985414481275"/>
          <c:h val="0.25266855519445364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rotY val="120"/>
      <c:perspective val="0"/>
    </c:view3D>
    <c:plotArea>
      <c:layout>
        <c:manualLayout>
          <c:layoutTarget val="inner"/>
          <c:xMode val="edge"/>
          <c:yMode val="edge"/>
          <c:x val="0.21684741576380326"/>
          <c:y val="7.8731250000000003E-2"/>
          <c:w val="0.72086114930850564"/>
          <c:h val="0.79667665907243823"/>
        </c:manualLayout>
      </c:layout>
      <c:pie3DChart>
        <c:varyColors val="1"/>
        <c:ser>
          <c:idx val="0"/>
          <c:order val="0"/>
          <c:tx>
            <c:strRef>
              <c:f>'Данные для диаграмм'!$B$1</c:f>
              <c:strCache>
                <c:ptCount val="1"/>
                <c:pt idx="0">
                  <c:v>авг 2018</c:v>
                </c:pt>
              </c:strCache>
            </c:strRef>
          </c:tx>
          <c:spPr>
            <a:solidFill>
              <a:srgbClr val="FFDABA"/>
            </a:solidFill>
            <a:ln>
              <a:solidFill>
                <a:srgbClr val="000000"/>
              </a:solidFill>
            </a:ln>
            <a:scene3d>
              <a:camera prst="orthographicFront"/>
              <a:lightRig rig="threePt" dir="t"/>
            </a:scene3d>
            <a:sp3d>
              <a:bevelT w="127000"/>
              <a:bevelB/>
              <a:contourClr>
                <a:srgbClr val="000000"/>
              </a:contourClr>
            </a:sp3d>
          </c:spPr>
          <c:dPt>
            <c:idx val="0"/>
            <c:spPr>
              <a:solidFill>
                <a:srgbClr val="9CBB5A"/>
              </a:solidFill>
              <a:ln>
                <a:solidFill>
                  <a:srgbClr val="000000"/>
                </a:solidFill>
              </a:ln>
              <a:scene3d>
                <a:camera prst="orthographicFront"/>
                <a:lightRig rig="threePt" dir="t"/>
              </a:scene3d>
              <a:sp3d>
                <a:bevelT w="127000"/>
                <a:bevelB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C45351"/>
              </a:solidFill>
              <a:ln>
                <a:solidFill>
                  <a:srgbClr val="000000"/>
                </a:solidFill>
              </a:ln>
              <a:scene3d>
                <a:camera prst="orthographicFront"/>
                <a:lightRig rig="threePt" dir="t"/>
              </a:scene3d>
              <a:sp3d>
                <a:bevelT w="127000"/>
                <a:bevelB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5183BF"/>
              </a:solidFill>
              <a:ln>
                <a:solidFill>
                  <a:srgbClr val="000000"/>
                </a:solidFill>
              </a:ln>
              <a:scene3d>
                <a:camera prst="orthographicFront"/>
                <a:lightRig rig="threePt" dir="t"/>
              </a:scene3d>
              <a:sp3d>
                <a:bevelT w="127000"/>
                <a:bevelB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1,3</a:t>
                    </a:r>
                    <a:endParaRPr lang="en-US"/>
                  </a:p>
                </c:rich>
              </c:tx>
              <c:showVal val="1"/>
            </c:dLbl>
            <c:numFmt formatCode="General" sourceLinked="0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'Данные для диаграмм'!$A$2:$A$4</c:f>
              <c:strCache>
                <c:ptCount val="3"/>
                <c:pt idx="0">
                  <c:v>непродовольственные товары</c:v>
                </c:pt>
                <c:pt idx="1">
                  <c:v>продовольственные товары</c:v>
                </c:pt>
                <c:pt idx="2">
                  <c:v>платные услуги</c:v>
                </c:pt>
              </c:strCache>
            </c:strRef>
          </c:cat>
          <c:val>
            <c:numRef>
              <c:f>'Данные для диаграмм'!$B$2:$B$4</c:f>
              <c:numCache>
                <c:formatCode>General</c:formatCode>
                <c:ptCount val="3"/>
                <c:pt idx="0">
                  <c:v>1.2</c:v>
                </c:pt>
                <c:pt idx="1">
                  <c:v>0.8</c:v>
                </c:pt>
                <c:pt idx="2">
                  <c:v>0.60000000000000064</c:v>
                </c:pt>
              </c:numCache>
            </c:numRef>
          </c:val>
        </c:ser>
      </c:pie3DChart>
      <c:spPr>
        <a:noFill/>
        <a:ln w="25400">
          <a:noFill/>
        </a:ln>
        <a:scene3d>
          <a:camera prst="orthographicFront"/>
          <a:lightRig rig="threePt" dir="t"/>
        </a:scene3d>
      </c:spPr>
    </c:plotArea>
    <c:dispBlanksAs val="zero"/>
  </c:chart>
  <c:spPr>
    <a:solidFill>
      <a:srgbClr val="FFFFFF"/>
    </a:solidFill>
    <a:ln w="12700">
      <a:solidFill>
        <a:srgbClr val="808080"/>
      </a:solidFill>
      <a:prstDash val="solid"/>
    </a:ln>
    <a:scene3d>
      <a:camera prst="orthographicFront"/>
      <a:lightRig rig="threePt" dir="t"/>
    </a:scene3d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50"/>
      <c:rotY val="120"/>
      <c:depthPercent val="20"/>
      <c:perspective val="0"/>
    </c:view3D>
    <c:plotArea>
      <c:layout>
        <c:manualLayout>
          <c:layoutTarget val="inner"/>
          <c:xMode val="edge"/>
          <c:yMode val="edge"/>
          <c:x val="0.18374920123570695"/>
          <c:y val="0.10398786390233331"/>
          <c:w val="0.7586840017091081"/>
          <c:h val="0.80828555715033068"/>
        </c:manualLayout>
      </c:layout>
      <c:pie3DChart>
        <c:varyColors val="1"/>
        <c:ser>
          <c:idx val="0"/>
          <c:order val="0"/>
          <c:tx>
            <c:strRef>
              <c:f>'Данные для диаграмм'!$B$1</c:f>
              <c:strCache>
                <c:ptCount val="1"/>
                <c:pt idx="0">
                  <c:v>авг 2019</c:v>
                </c:pt>
              </c:strCache>
            </c:strRef>
          </c:tx>
          <c:spPr>
            <a:solidFill>
              <a:srgbClr val="FFDABA"/>
            </a:soli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 w="127000"/>
              <a:contourClr>
                <a:srgbClr val="000000"/>
              </a:contourClr>
            </a:sp3d>
          </c:spPr>
          <c:dPt>
            <c:idx val="0"/>
            <c:spPr>
              <a:solidFill>
                <a:srgbClr val="9CBC5B"/>
              </a:solidFill>
              <a:ln w="317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27000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rgbClr val="C45351"/>
              </a:solidFill>
              <a:ln w="3175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27000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5284C0"/>
              </a:solidFill>
              <a:ln w="3175">
                <a:solidFill>
                  <a:srgbClr val="202415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 w="127000"/>
                <a:contourClr>
                  <a:srgbClr val="000000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1,1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numFmt formatCode="General" sourceLinked="0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'Данные для диаграмм'!$A$2:$A$4</c:f>
              <c:strCache>
                <c:ptCount val="3"/>
                <c:pt idx="0">
                  <c:v>непродовольственные товары</c:v>
                </c:pt>
                <c:pt idx="1">
                  <c:v>продовольственные товары</c:v>
                </c:pt>
                <c:pt idx="2">
                  <c:v>платные услуги</c:v>
                </c:pt>
              </c:strCache>
            </c:strRef>
          </c:cat>
          <c:val>
            <c:numRef>
              <c:f>'Данные для диаграмм'!$B$2:$B$4</c:f>
              <c:numCache>
                <c:formatCode>General</c:formatCode>
                <c:ptCount val="3"/>
                <c:pt idx="0">
                  <c:v>1</c:v>
                </c:pt>
                <c:pt idx="1">
                  <c:v>0.60000000000000064</c:v>
                </c:pt>
                <c:pt idx="2">
                  <c:v>1.1000000000000001</c:v>
                </c:pt>
              </c:numCache>
            </c:numRef>
          </c:val>
        </c:ser>
      </c:pie3DChart>
      <c:spPr>
        <a:scene3d>
          <a:camera prst="orthographicFront"/>
          <a:lightRig rig="threePt" dir="t"/>
        </a:scene3d>
      </c:spPr>
    </c:plotArea>
    <c:dispBlanksAs val="zero"/>
  </c:chart>
  <c:spPr>
    <a:solidFill>
      <a:schemeClr val="bg1"/>
    </a:solidFill>
    <a:ln w="12700">
      <a:solidFill>
        <a:srgbClr val="808080"/>
      </a:solidFill>
      <a:prstDash val="solid"/>
    </a:ln>
    <a:effectLst>
      <a:glow>
        <a:schemeClr val="accent1">
          <a:alpha val="40000"/>
        </a:schemeClr>
      </a:glow>
      <a:softEdge rad="0"/>
    </a:effectLst>
    <a:scene3d>
      <a:camera prst="orthographicFront"/>
      <a:lightRig rig="threePt" dir="t"/>
    </a:scene3d>
    <a:sp3d prstMaterial="matte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050" b="1"/>
            </a:pPr>
            <a:r>
              <a:rPr lang="ru-RU" sz="1050" b="1" i="1"/>
              <a:t>Исполнение</a:t>
            </a:r>
            <a:r>
              <a:rPr lang="ru-RU" sz="1050" b="1" i="1" baseline="0"/>
              <a:t> консолидированного бюджета Мурманской области, млн. рублей</a:t>
            </a:r>
            <a:endParaRPr lang="ru-RU" sz="1050" b="1" i="1"/>
          </a:p>
        </c:rich>
      </c:tx>
      <c:layout>
        <c:manualLayout>
          <c:xMode val="edge"/>
          <c:yMode val="edge"/>
          <c:x val="0.11274186461137505"/>
          <c:y val="3.6475143513248202E-2"/>
        </c:manualLayout>
      </c:layout>
      <c:spPr>
        <a:noFill/>
        <a:ln w="25409">
          <a:noFill/>
        </a:ln>
      </c:spPr>
    </c:title>
    <c:view3D>
      <c:rotX val="10"/>
      <c:rotY val="0"/>
      <c:perspective val="10"/>
    </c:view3D>
    <c:plotArea>
      <c:layout>
        <c:manualLayout>
          <c:layoutTarget val="inner"/>
          <c:xMode val="edge"/>
          <c:yMode val="edge"/>
          <c:x val="2.3642602096339515E-2"/>
          <c:y val="0.19649870990725221"/>
          <c:w val="0.97635740737890064"/>
          <c:h val="0.58018701649016069"/>
        </c:manualLayout>
      </c:layout>
      <c:bar3DChart>
        <c:barDir val="col"/>
        <c:grouping val="clustered"/>
        <c:ser>
          <c:idx val="0"/>
          <c:order val="0"/>
          <c:tx>
            <c:strRef>
              <c:f>'Данные для диаграмм'!$A$2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  <a:ln w="25409">
              <a:noFill/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Lbls>
            <c:dLbl>
              <c:idx val="0"/>
              <c:layout>
                <c:manualLayout>
                  <c:x val="8.0434240151808067E-3"/>
                  <c:y val="-2.85223690260470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70 983,4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3.7897194211028769E-3"/>
                  <c:y val="-2.85223690260470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90</a:t>
                    </a:r>
                    <a:r>
                      <a:rPr lang="ru-RU" baseline="0"/>
                      <a:t> 757,6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'Данные для диаграмм'!$B$1:$C$1</c:f>
              <c:strCache>
                <c:ptCount val="2"/>
                <c:pt idx="0">
                  <c:v>январь-август 2018</c:v>
                </c:pt>
                <c:pt idx="1">
                  <c:v>январь-август 2019</c:v>
                </c:pt>
              </c:strCache>
            </c:strRef>
          </c:cat>
          <c:val>
            <c:numRef>
              <c:f>'Данные для диаграмм'!$B$2:$C$2</c:f>
              <c:numCache>
                <c:formatCode>#,##0.0</c:formatCode>
                <c:ptCount val="2"/>
                <c:pt idx="0">
                  <c:v>70983.399999999994</c:v>
                </c:pt>
                <c:pt idx="1">
                  <c:v>90757.6</c:v>
                </c:pt>
              </c:numCache>
            </c:numRef>
          </c:val>
        </c:ser>
        <c:ser>
          <c:idx val="1"/>
          <c:order val="1"/>
          <c:tx>
            <c:strRef>
              <c:f>'Данные для диаграмм'!$A$3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 w="25409">
              <a:noFill/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Lbls>
            <c:dLbl>
              <c:idx val="0"/>
              <c:layout>
                <c:manualLayout>
                  <c:x val="1.0170196231934324E-2"/>
                  <c:y val="-2.38657455107584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69 536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2.4977040982207452E-3"/>
                  <c:y val="-2.85223690260470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81 602,3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'Данные для диаграмм'!$B$1:$C$1</c:f>
              <c:strCache>
                <c:ptCount val="2"/>
                <c:pt idx="0">
                  <c:v>январь-август 2018</c:v>
                </c:pt>
                <c:pt idx="1">
                  <c:v>январь-август 2019</c:v>
                </c:pt>
              </c:strCache>
            </c:strRef>
          </c:cat>
          <c:val>
            <c:numRef>
              <c:f>'Данные для диаграмм'!$B$3:$C$3</c:f>
              <c:numCache>
                <c:formatCode>#,##0.0</c:formatCode>
                <c:ptCount val="2"/>
                <c:pt idx="0">
                  <c:v>69536.5</c:v>
                </c:pt>
                <c:pt idx="1">
                  <c:v>81602.3</c:v>
                </c:pt>
              </c:numCache>
            </c:numRef>
          </c:val>
        </c:ser>
        <c:ser>
          <c:idx val="2"/>
          <c:order val="2"/>
          <c:tx>
            <c:strRef>
              <c:f>'Данные для диаграмм'!$A$4</c:f>
              <c:strCache>
                <c:ptCount val="1"/>
                <c:pt idx="0">
                  <c:v>Профицит(+)/Дефицит (-)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ln w="25409">
              <a:noFill/>
            </a:ln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dLbls>
            <c:dLbl>
              <c:idx val="0"/>
              <c:layout>
                <c:manualLayout>
                  <c:x val="1.3006298092902147E-2"/>
                  <c:y val="-4.6425207863602547E-2"/>
                </c:manualLayout>
              </c:layout>
              <c:showVal val="1"/>
            </c:dLbl>
            <c:dLbl>
              <c:idx val="1"/>
              <c:layout>
                <c:manualLayout>
                  <c:x val="-2.2194387343660296E-3"/>
                  <c:y val="-3.8387240252006752E-2"/>
                </c:manualLayout>
              </c:layout>
              <c:showVal val="1"/>
            </c:dLbl>
            <c:showVal val="1"/>
          </c:dLbls>
          <c:cat>
            <c:strRef>
              <c:f>'Данные для диаграмм'!$B$1:$C$1</c:f>
              <c:strCache>
                <c:ptCount val="2"/>
                <c:pt idx="0">
                  <c:v>январь-август 2018</c:v>
                </c:pt>
                <c:pt idx="1">
                  <c:v>январь-август 2019</c:v>
                </c:pt>
              </c:strCache>
            </c:strRef>
          </c:cat>
          <c:val>
            <c:numRef>
              <c:f>'Данные для диаграмм'!$B$4:$C$4</c:f>
              <c:numCache>
                <c:formatCode>#,##0.0</c:formatCode>
                <c:ptCount val="2"/>
                <c:pt idx="0">
                  <c:v>1446.8999999999942</c:v>
                </c:pt>
                <c:pt idx="1">
                  <c:v>9155.3000000000011</c:v>
                </c:pt>
              </c:numCache>
            </c:numRef>
          </c:val>
        </c:ser>
        <c:gapWidth val="57"/>
        <c:gapDepth val="176"/>
        <c:shape val="cylinder"/>
        <c:axId val="66412544"/>
        <c:axId val="66414080"/>
        <c:axId val="0"/>
      </c:bar3DChart>
      <c:catAx>
        <c:axId val="66412544"/>
        <c:scaling>
          <c:orientation val="minMax"/>
        </c:scaling>
        <c:axPos val="b"/>
        <c:numFmt formatCode="@" sourceLinked="1"/>
        <c:majorTickMark val="none"/>
        <c:tickLblPos val="none"/>
        <c:crossAx val="66414080"/>
        <c:crossesAt val="70"/>
        <c:lblAlgn val="ctr"/>
        <c:lblOffset val="100"/>
        <c:tickLblSkip val="1"/>
        <c:tickMarkSkip val="1"/>
      </c:catAx>
      <c:valAx>
        <c:axId val="66414080"/>
        <c:scaling>
          <c:orientation val="minMax"/>
          <c:max val="20000"/>
          <c:min val="-600"/>
        </c:scaling>
        <c:axPos val="l"/>
        <c:numFmt formatCode="#,##0.0" sourceLinked="1"/>
        <c:majorTickMark val="none"/>
        <c:tickLblPos val="none"/>
        <c:spPr>
          <a:ln>
            <a:noFill/>
          </a:ln>
        </c:spPr>
        <c:crossAx val="66412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690758932007447"/>
          <c:y val="0.88449748714146159"/>
          <c:w val="0.50198776195083561"/>
          <c:h val="9.0504017859148092E-2"/>
        </c:manualLayout>
      </c:layout>
      <c:spPr>
        <a:noFill/>
        <a:ln w="25409">
          <a:noFill/>
        </a:ln>
      </c:spPr>
      <c:txPr>
        <a:bodyPr/>
        <a:lstStyle/>
        <a:p>
          <a:pPr>
            <a:defRPr sz="900" b="1" i="1"/>
          </a:pPr>
          <a:endParaRPr lang="ru-RU"/>
        </a:p>
      </c:txPr>
    </c:legend>
    <c:dispBlanksAs val="gap"/>
  </c:chart>
  <c:spPr>
    <a:solidFill>
      <a:srgbClr val="FFFFFF"/>
    </a:solidFill>
    <a:ln w="9529">
      <a:solidFill>
        <a:srgbClr val="4F81BD">
          <a:lumMod val="40000"/>
          <a:lumOff val="60000"/>
        </a:srgbClr>
      </a:solidFill>
      <a:prstDash val="solid"/>
    </a:ln>
    <a:effectLst>
      <a:outerShdw blurRad="50800" dist="50800" dir="5400000" sx="92000" sy="92000" algn="ctr" rotWithShape="0">
        <a:srgbClr val="1F497D">
          <a:lumMod val="20000"/>
          <a:lumOff val="80000"/>
        </a:srgbClr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0.70665</cdr:x>
      <cdr:y>0</cdr:y>
    </cdr:from>
    <cdr:to>
      <cdr:x>1</cdr:x>
      <cdr:y>0.19618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017009" y="0"/>
          <a:ext cx="837316" cy="3656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Платные</a:t>
          </a:r>
          <a:r>
            <a:rPr lang="ru-RU" sz="10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услуги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0.89845</cdr:y>
    </cdr:from>
    <cdr:to>
      <cdr:x>1</cdr:x>
      <cdr:y>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1685873"/>
          <a:ext cx="2854325" cy="190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Непродовольственные товары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0.51613</cdr:x>
      <cdr:y>0.21441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0" y="0"/>
          <a:ext cx="1473200" cy="3996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Продовольственные</a:t>
          </a:r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товары</a:t>
          </a:r>
          <a:endParaRPr lang="en-US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0.72589</cdr:x>
      <cdr:y>0</cdr:y>
    </cdr:from>
    <cdr:to>
      <cdr:x>1</cdr:x>
      <cdr:y>0.19727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086382" y="0"/>
          <a:ext cx="787447" cy="36602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Платные</a:t>
          </a:r>
          <a:r>
            <a:rPr lang="ru-RU" sz="10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услуги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0.10631</cdr:x>
      <cdr:y>0.91722</cdr:y>
    </cdr:from>
    <cdr:to>
      <cdr:x>0.92691</cdr:x>
      <cdr:y>1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304799" y="1709445"/>
          <a:ext cx="2352675" cy="1542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Непродовольственные</a:t>
          </a:r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товары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0.51501</cdr:x>
      <cdr:y>0.20851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0" y="0"/>
          <a:ext cx="1476545" cy="3886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Продовольственные</a:t>
          </a:r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товары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0.18011</cdr:x>
      <cdr:y>0.76066</cdr:y>
    </cdr:from>
    <cdr:to>
      <cdr:x>0.42766</cdr:x>
      <cdr:y>0.83934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70279" y="1844703"/>
          <a:ext cx="1470991" cy="19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 i="0">
              <a:latin typeface="Times New Roman" pitchFamily="18" charset="0"/>
              <a:cs typeface="Times New Roman" pitchFamily="18" charset="0"/>
            </a:rPr>
            <a:t>январь-ноябрь 2</a:t>
          </a:r>
          <a:r>
            <a:rPr lang="ru-RU" sz="800" i="0" baseline="0">
              <a:latin typeface="Times New Roman" pitchFamily="18" charset="0"/>
              <a:cs typeface="Times New Roman" pitchFamily="18" charset="0"/>
            </a:rPr>
            <a:t>018 года                                                                    </a:t>
          </a:r>
          <a:endParaRPr lang="ru-RU" sz="800" i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0.60399</cdr:x>
      <cdr:y>0.75359</cdr:y>
    </cdr:from>
    <cdr:to>
      <cdr:x>0.83236</cdr:x>
      <cdr:y>0.84645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771152" y="2055264"/>
          <a:ext cx="1425853" cy="2532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800" i="0">
              <a:latin typeface="Times New Roman" pitchFamily="18" charset="0"/>
              <a:cs typeface="Times New Roman" pitchFamily="18" charset="0"/>
            </a:rPr>
            <a:t>январь-ноябрь 2</a:t>
          </a:r>
          <a:r>
            <a:rPr lang="ru-RU" sz="800" i="0" baseline="0">
              <a:latin typeface="Times New Roman" pitchFamily="18" charset="0"/>
              <a:cs typeface="Times New Roman" pitchFamily="18" charset="0"/>
            </a:rPr>
            <a:t>019 года                                                                    </a:t>
          </a:r>
          <a:endParaRPr lang="ru-RU" sz="800" i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0.03704</cdr:x>
      <cdr:y>0.02015</cdr:y>
    </cdr:from>
    <cdr:to>
      <cdr:x>0.99635</cdr:x>
      <cdr:y>0.14107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19890" y="77803"/>
          <a:ext cx="5694445" cy="46689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5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Структура налоговых и неналоговых доходов</a:t>
          </a:r>
        </a:p>
        <a:p xmlns:a="http://schemas.openxmlformats.org/drawingml/2006/main">
          <a:pPr algn="ctr"/>
          <a:r>
            <a:rPr lang="ru-RU" sz="1050" b="1" i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консолидированного бюджета Мурманской области,%</a:t>
          </a:r>
          <a:endParaRPr lang="ru-RU" sz="1050" b="1" i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BA966-B27A-45D8-9577-472E2913D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3750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Семенова</cp:lastModifiedBy>
  <cp:revision>12</cp:revision>
  <cp:lastPrinted>2019-12-30T07:33:00Z</cp:lastPrinted>
  <dcterms:created xsi:type="dcterms:W3CDTF">2019-12-26T12:08:00Z</dcterms:created>
  <dcterms:modified xsi:type="dcterms:W3CDTF">2019-12-31T07:43:00Z</dcterms:modified>
</cp:coreProperties>
</file>