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98D3B" w14:textId="77777777" w:rsidR="006E0DFE" w:rsidRDefault="006E0DFE" w:rsidP="006E0DFE">
      <w:pPr>
        <w:spacing w:after="0" w:line="240" w:lineRule="auto"/>
        <w:ind w:left="2977" w:firstLine="7371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25184542" w14:textId="77777777" w:rsidR="006E0DFE" w:rsidRDefault="006E0DFE" w:rsidP="006E0DFE">
      <w:pPr>
        <w:spacing w:after="0" w:line="240" w:lineRule="auto"/>
        <w:ind w:left="2977" w:firstLine="7371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 xml:space="preserve">к приказу Министерства </w:t>
      </w:r>
    </w:p>
    <w:p w14:paraId="3167C802" w14:textId="77777777" w:rsidR="006E0DFE" w:rsidRDefault="006E0DFE" w:rsidP="006E0DFE">
      <w:pPr>
        <w:spacing w:after="0" w:line="240" w:lineRule="auto"/>
        <w:ind w:left="2977" w:firstLine="7371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0DFE">
        <w:rPr>
          <w:rFonts w:ascii="Times New Roman" w:hAnsi="Times New Roman" w:cs="Times New Roman"/>
          <w:bCs/>
          <w:sz w:val="28"/>
          <w:szCs w:val="28"/>
        </w:rPr>
        <w:t xml:space="preserve">Арктики и экономики </w:t>
      </w:r>
    </w:p>
    <w:p w14:paraId="7F1C971C" w14:textId="77777777" w:rsidR="006E0DFE" w:rsidRDefault="006E0DFE" w:rsidP="006E0DFE">
      <w:pPr>
        <w:spacing w:after="0" w:line="240" w:lineRule="auto"/>
        <w:ind w:left="2977" w:firstLine="7371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 xml:space="preserve">Мурманской области </w:t>
      </w:r>
    </w:p>
    <w:p w14:paraId="51E8D669" w14:textId="06DE067C" w:rsidR="006E0DFE" w:rsidRPr="006E0DFE" w:rsidRDefault="006E0DFE" w:rsidP="006E0DFE">
      <w:pPr>
        <w:spacing w:after="0" w:line="240" w:lineRule="auto"/>
        <w:ind w:left="2977" w:firstLine="7371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>от __</w:t>
      </w:r>
      <w:proofErr w:type="gramStart"/>
      <w:r w:rsidRPr="006E0DFE">
        <w:rPr>
          <w:rFonts w:ascii="Times New Roman" w:hAnsi="Times New Roman" w:cs="Times New Roman"/>
          <w:bCs/>
          <w:sz w:val="28"/>
          <w:szCs w:val="28"/>
        </w:rPr>
        <w:t>_.01.2026</w:t>
      </w:r>
      <w:proofErr w:type="gramEnd"/>
      <w:r w:rsidRPr="006E0DFE">
        <w:rPr>
          <w:rFonts w:ascii="Times New Roman" w:hAnsi="Times New Roman" w:cs="Times New Roman"/>
          <w:bCs/>
          <w:sz w:val="28"/>
          <w:szCs w:val="28"/>
        </w:rPr>
        <w:t xml:space="preserve"> № ___-ОД</w:t>
      </w:r>
    </w:p>
    <w:p w14:paraId="6C7654CE" w14:textId="77777777" w:rsidR="006E0DFE" w:rsidRDefault="006E0DFE" w:rsidP="0087306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4D930316" w14:textId="77777777" w:rsidR="00873066" w:rsidRPr="006E0DFE" w:rsidRDefault="00873066" w:rsidP="008730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1BEA3DBC" w14:textId="77777777" w:rsidR="00873066" w:rsidRPr="006E0DFE" w:rsidRDefault="00873066" w:rsidP="008730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0DFE">
        <w:rPr>
          <w:rFonts w:ascii="Times New Roman" w:hAnsi="Times New Roman" w:cs="Times New Roman"/>
          <w:bCs/>
          <w:sz w:val="28"/>
          <w:szCs w:val="28"/>
        </w:rPr>
        <w:t>объектов, в отношении которых планируется заключение концессионных соглашений</w:t>
      </w:r>
      <w:r w:rsidR="00EF4ED1" w:rsidRPr="006E0DFE">
        <w:rPr>
          <w:rFonts w:ascii="Times New Roman" w:hAnsi="Times New Roman" w:cs="Times New Roman"/>
          <w:bCs/>
          <w:sz w:val="28"/>
          <w:szCs w:val="28"/>
        </w:rPr>
        <w:t xml:space="preserve"> (202</w:t>
      </w:r>
      <w:r w:rsidR="00431F52" w:rsidRPr="006E0DFE">
        <w:rPr>
          <w:rFonts w:ascii="Times New Roman" w:hAnsi="Times New Roman" w:cs="Times New Roman"/>
          <w:bCs/>
          <w:sz w:val="28"/>
          <w:szCs w:val="28"/>
        </w:rPr>
        <w:t>6</w:t>
      </w:r>
      <w:r w:rsidR="00EF4ED1" w:rsidRPr="006E0DFE">
        <w:rPr>
          <w:rFonts w:ascii="Times New Roman" w:hAnsi="Times New Roman" w:cs="Times New Roman"/>
          <w:bCs/>
          <w:sz w:val="28"/>
          <w:szCs w:val="28"/>
        </w:rPr>
        <w:t xml:space="preserve"> год)</w:t>
      </w:r>
    </w:p>
    <w:p w14:paraId="044F0781" w14:textId="77777777" w:rsidR="00873066" w:rsidRPr="00873066" w:rsidRDefault="00873066" w:rsidP="00873066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5561" w:type="dxa"/>
        <w:tblInd w:w="-5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559"/>
        <w:gridCol w:w="1417"/>
        <w:gridCol w:w="1701"/>
        <w:gridCol w:w="1560"/>
        <w:gridCol w:w="2835"/>
        <w:gridCol w:w="1559"/>
        <w:gridCol w:w="1361"/>
        <w:gridCol w:w="1474"/>
        <w:gridCol w:w="1701"/>
      </w:tblGrid>
      <w:tr w:rsidR="00AE7C43" w:rsidRPr="00431F52" w14:paraId="586C9429" w14:textId="77777777" w:rsidTr="001F5929">
        <w:trPr>
          <w:trHeight w:val="2152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F87CC" w14:textId="77777777" w:rsidR="00873066" w:rsidRPr="00431F52" w:rsidRDefault="00873066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99632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и характеристика объекта, планируемая мощность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3C404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Место расположение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3D514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Отрасль и сфера использования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20B0D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 концессионного соглашения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C0B2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технико-экономические характеристики объекта, краткое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57BD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Планируемый срок действия концессионного соглашения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9B6DE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Предполагаемый объем инвестиций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927E1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Правоустанавливающие документы на объект (включая свидетельства о государственной регистрации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BDCA5" w14:textId="77777777" w:rsidR="00873066" w:rsidRPr="00431F52" w:rsidRDefault="00873066" w:rsidP="006E0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 (Ф.И.О., должность, тел., e-</w:t>
            </w:r>
            <w:proofErr w:type="spellStart"/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mail</w:t>
            </w:r>
            <w:proofErr w:type="spellEnd"/>
            <w:r w:rsidRPr="00431F52">
              <w:rPr>
                <w:rFonts w:ascii="Times New Roman" w:hAnsi="Times New Roman" w:cs="Times New Roman"/>
                <w:bCs/>
                <w:sz w:val="20"/>
                <w:szCs w:val="20"/>
              </w:rPr>
              <w:t>)»</w:t>
            </w:r>
          </w:p>
        </w:tc>
      </w:tr>
      <w:tr w:rsidR="00AE7C43" w:rsidRPr="00431F52" w14:paraId="4B103120" w14:textId="77777777" w:rsidTr="001F5929">
        <w:trPr>
          <w:trHeight w:val="93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A26" w14:textId="45DF1B4B" w:rsidR="00873066" w:rsidRPr="00A22B50" w:rsidRDefault="00F45808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0B2A" w14:textId="4134FB47" w:rsidR="00873066" w:rsidRPr="00A22B50" w:rsidRDefault="00F45808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Аэродром Апатиты (Хибины): ВПП, ВДС, РД-4. Планируемая мощность: 422 пассажиров в час; взлетов-посадок в час: 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541" w14:textId="4780E1E5" w:rsidR="00BA5DD1" w:rsidRPr="00A22B50" w:rsidRDefault="00F45808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Мурманская область, </w:t>
            </w:r>
            <w:r w:rsidRPr="00CC01BC">
              <w:rPr>
                <w:rFonts w:ascii="Times New Roman" w:hAnsi="Times New Roman" w:cs="Times New Roman"/>
                <w:bCs/>
                <w:sz w:val="20"/>
                <w:szCs w:val="20"/>
              </w:rPr>
              <w:t>г. Апатиты</w:t>
            </w:r>
            <w:r w:rsidR="00BA5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C01BC">
              <w:rPr>
                <w:rFonts w:ascii="Times New Roman" w:hAnsi="Times New Roman" w:cs="Times New Roman"/>
                <w:bCs/>
                <w:sz w:val="20"/>
                <w:szCs w:val="20"/>
              </w:rPr>
              <w:t>аэропорт</w:t>
            </w:r>
          </w:p>
          <w:p w14:paraId="070D31AA" w14:textId="0746E0D0" w:rsidR="00873066" w:rsidRPr="00A22B50" w:rsidRDefault="00873066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D59" w14:textId="18BB5D61" w:rsidR="00873066" w:rsidRPr="00A22B50" w:rsidRDefault="006E0DFE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Транспортная отрасль / гражданская авиация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7B6" w14:textId="67350EA6" w:rsidR="00873066" w:rsidRPr="00A22B50" w:rsidRDefault="00F45808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</w:t>
            </w:r>
            <w:r w:rsidR="004B74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эксплуатация</w:t>
            </w: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5DD1"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 соглашения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155" w14:textId="4EC47934" w:rsidR="00A22B50" w:rsidRPr="00A22B50" w:rsidRDefault="0082441F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bookmarkStart w:id="0" w:name="_Ref167897117"/>
            <w:r>
              <w:rPr>
                <w:rFonts w:ascii="Times New Roman" w:eastAsiaTheme="minorHAnsi" w:hAnsi="Times New Roman" w:cs="Times New Roman"/>
                <w:bCs/>
                <w:sz w:val="20"/>
              </w:rPr>
              <w:t>1. </w:t>
            </w:r>
            <w:r w:rsidR="00CC01BC">
              <w:rPr>
                <w:rFonts w:ascii="Times New Roman" w:eastAsiaTheme="minorHAnsi" w:hAnsi="Times New Roman" w:cs="Times New Roman"/>
                <w:bCs/>
                <w:sz w:val="20"/>
              </w:rPr>
              <w:t>Р</w:t>
            </w:r>
            <w:r w:rsidR="00A22B50"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асчетный</w:t>
            </w:r>
            <w:r w:rsidR="006E0DFE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 тип воздушного судна (далее - ВС</w:t>
            </w:r>
            <w:r w:rsidR="00A22B50" w:rsidRPr="00A22B50">
              <w:rPr>
                <w:rFonts w:ascii="Times New Roman" w:eastAsiaTheme="minorHAnsi" w:hAnsi="Times New Roman" w:cs="Times New Roman"/>
                <w:bCs/>
                <w:sz w:val="20"/>
              </w:rPr>
              <w:t>) – В767-300ER, А-321-200, с ограничениями максимальной взлетной массы ВС, которые будут определены Проектной документацией</w:t>
            </w:r>
            <w:bookmarkEnd w:id="0"/>
            <w:r>
              <w:rPr>
                <w:rFonts w:ascii="Times New Roman" w:eastAsiaTheme="minorHAnsi" w:hAnsi="Times New Roman" w:cs="Times New Roman"/>
                <w:bCs/>
                <w:sz w:val="20"/>
              </w:rPr>
              <w:t>.</w:t>
            </w:r>
          </w:p>
          <w:p w14:paraId="4AC850F1" w14:textId="15C4A874" w:rsidR="00A22B50" w:rsidRPr="00A22B50" w:rsidRDefault="0082441F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</w:rPr>
              <w:t>2. </w:t>
            </w:r>
            <w:r w:rsidR="00A22B50"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ВПП:</w:t>
            </w:r>
          </w:p>
          <w:p w14:paraId="01D5F915" w14:textId="61904E5D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длина – 2 500 м</w:t>
            </w:r>
            <w:r w:rsidR="0082441F">
              <w:rPr>
                <w:rFonts w:ascii="Times New Roman" w:eastAsiaTheme="minorHAnsi" w:hAnsi="Times New Roman" w:cs="Times New Roman"/>
                <w:bCs/>
                <w:sz w:val="20"/>
              </w:rPr>
              <w:t>;</w:t>
            </w: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 </w:t>
            </w:r>
          </w:p>
          <w:p w14:paraId="08C151B4" w14:textId="77777777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ширина – 42 м (без учета укрепленных обочин);</w:t>
            </w:r>
          </w:p>
          <w:p w14:paraId="7B682D46" w14:textId="38C4E461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классификационное число PCN достаточное для приема расчетного типа ВС</w:t>
            </w:r>
            <w:r w:rsidR="0082441F">
              <w:rPr>
                <w:rFonts w:ascii="Times New Roman" w:eastAsiaTheme="minorHAnsi" w:hAnsi="Times New Roman" w:cs="Times New Roman"/>
                <w:bCs/>
                <w:sz w:val="20"/>
              </w:rPr>
              <w:t>;</w:t>
            </w:r>
          </w:p>
          <w:p w14:paraId="669DC0D1" w14:textId="5C335807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ССО не ниже II категории ИКАО с одного курса захода на посадку и не ниже I категории ИКАО со </w:t>
            </w:r>
            <w:r w:rsidR="0082441F">
              <w:rPr>
                <w:rFonts w:ascii="Times New Roman" w:eastAsiaTheme="minorHAnsi" w:hAnsi="Times New Roman" w:cs="Times New Roman"/>
                <w:bCs/>
                <w:sz w:val="20"/>
              </w:rPr>
              <w:t>второго курса захода на посадку.</w:t>
            </w:r>
          </w:p>
          <w:p w14:paraId="4CFB004B" w14:textId="1A60FC88" w:rsidR="00A22B50" w:rsidRPr="00A22B50" w:rsidRDefault="0082441F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</w:rPr>
              <w:lastRenderedPageBreak/>
              <w:t>3. </w:t>
            </w:r>
            <w:r w:rsidR="00A22B50" w:rsidRPr="00A22B50">
              <w:rPr>
                <w:rFonts w:ascii="Times New Roman" w:eastAsiaTheme="minorHAnsi" w:hAnsi="Times New Roman" w:cs="Times New Roman"/>
                <w:bCs/>
                <w:sz w:val="20"/>
              </w:rPr>
              <w:t>РД-4:</w:t>
            </w:r>
          </w:p>
          <w:p w14:paraId="54472C70" w14:textId="77777777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длина – 164,52 м,</w:t>
            </w:r>
          </w:p>
          <w:p w14:paraId="4980B3CE" w14:textId="77777777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ширина – 21 м;</w:t>
            </w:r>
          </w:p>
          <w:p w14:paraId="697ECDFC" w14:textId="77777777" w:rsidR="00A22B50" w:rsidRPr="00A22B50" w:rsidRDefault="00A22B50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eastAsiaTheme="minorHAnsi" w:hAnsi="Times New Roman" w:cs="Times New Roman"/>
                <w:bCs/>
                <w:sz w:val="20"/>
              </w:rPr>
            </w:pPr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количество место стоянок ВС – не менее 4, включая 4 места стоянки под ВС кода «Е», в том числе наличие места стоянки для </w:t>
            </w:r>
            <w:proofErr w:type="spellStart"/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противообледенительной</w:t>
            </w:r>
            <w:proofErr w:type="spellEnd"/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 обработки ВС, пункта сбора </w:t>
            </w:r>
            <w:proofErr w:type="spellStart"/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противооблединительной</w:t>
            </w:r>
            <w:proofErr w:type="spellEnd"/>
            <w:r w:rsidRPr="00A22B50">
              <w:rPr>
                <w:rFonts w:ascii="Times New Roman" w:eastAsiaTheme="minorHAnsi" w:hAnsi="Times New Roman" w:cs="Times New Roman"/>
                <w:bCs/>
                <w:sz w:val="20"/>
              </w:rPr>
              <w:t xml:space="preserve"> жидкости;</w:t>
            </w:r>
          </w:p>
          <w:p w14:paraId="7F322CC9" w14:textId="347F22B6" w:rsidR="00873066" w:rsidRPr="00431F52" w:rsidRDefault="0082441F" w:rsidP="006E0DFE">
            <w:pPr>
              <w:pStyle w:val="EUCOMPL3"/>
              <w:numPr>
                <w:ilvl w:val="0"/>
                <w:numId w:val="0"/>
              </w:numPr>
              <w:shd w:val="clear" w:color="auto" w:fill="FFFFFF" w:themeFill="background1"/>
              <w:spacing w:after="0" w:line="240" w:lineRule="auto"/>
              <w:outlineLvl w:val="9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</w:rPr>
              <w:t>4.</w:t>
            </w:r>
            <w:r w:rsidR="00A22B50" w:rsidRPr="00A22B50">
              <w:rPr>
                <w:rFonts w:ascii="Times New Roman" w:eastAsiaTheme="minorHAnsi" w:hAnsi="Times New Roman" w:cs="Times New Roman"/>
                <w:bCs/>
                <w:sz w:val="20"/>
              </w:rPr>
              <w:t>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D92" w14:textId="354139DA" w:rsidR="00A22B50" w:rsidRPr="00A22B50" w:rsidRDefault="00BA5DD1" w:rsidP="00A22B5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49 лет</w:t>
            </w:r>
          </w:p>
          <w:p w14:paraId="42ED1BF9" w14:textId="77777777" w:rsidR="00873066" w:rsidRPr="00431F52" w:rsidRDefault="00873066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EA2A" w14:textId="52AFB850" w:rsidR="00873066" w:rsidRPr="00431F52" w:rsidRDefault="00BA5DD1" w:rsidP="00BA5D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5,9 млрд</w:t>
            </w:r>
            <w:r w:rsidR="00A22B50"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468" w14:textId="768EF353" w:rsidR="00873066" w:rsidRPr="00431F52" w:rsidRDefault="00987D76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987D76">
              <w:rPr>
                <w:rFonts w:ascii="Times New Roman" w:hAnsi="Times New Roman" w:cs="Times New Roman"/>
                <w:bCs/>
                <w:sz w:val="20"/>
                <w:szCs w:val="20"/>
              </w:rPr>
              <w:t>видетельство о гос.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7D76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регистрации аэродрома граж</w:t>
            </w:r>
            <w:r w:rsidR="001F5929">
              <w:rPr>
                <w:rFonts w:ascii="Times New Roman" w:hAnsi="Times New Roman" w:cs="Times New Roman"/>
                <w:bCs/>
                <w:sz w:val="20"/>
                <w:szCs w:val="20"/>
              </w:rPr>
              <w:t>данской авиации от 20.06.2014 № </w:t>
            </w:r>
            <w:r w:rsidRPr="00987D76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1F62" w14:textId="77777777" w:rsidR="00873066" w:rsidRDefault="0083615B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Мурманской области</w:t>
            </w:r>
          </w:p>
          <w:p w14:paraId="2990EE87" w14:textId="77777777" w:rsidR="0082441F" w:rsidRDefault="0082441F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8841B27" w14:textId="77777777" w:rsidR="00BA5DD1" w:rsidRDefault="0082441F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Стародубцев О.С., заместитель министра, </w:t>
            </w:r>
          </w:p>
          <w:p w14:paraId="0D4FD7A3" w14:textId="2F12A0A1" w:rsidR="0082441F" w:rsidRPr="00431F52" w:rsidRDefault="0082441F" w:rsidP="0087306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+7 (8152) 486 887, </w:t>
            </w:r>
            <w:hyperlink r:id="rId5" w:tgtFrame="_blank" w:history="1">
              <w:r w:rsidRPr="0082441F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starodubtsev@gov-murman.ru</w:t>
              </w:r>
            </w:hyperlink>
          </w:p>
        </w:tc>
      </w:tr>
      <w:tr w:rsidR="00AE7C43" w:rsidRPr="009C7BAB" w14:paraId="63B23A6E" w14:textId="77777777" w:rsidTr="001F5929">
        <w:trPr>
          <w:trHeight w:val="13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09F" w14:textId="7CCAAD4A" w:rsidR="00AE7C43" w:rsidRPr="00A22B50" w:rsidRDefault="00AE7C43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B7F" w14:textId="4323E9B9" w:rsidR="00AE7C43" w:rsidRPr="00A22B50" w:rsidRDefault="00AE7C43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Аппаратно-программный комплекс «Автоматизированная система эксплуатации системы безопасности дорожного движения Мурманской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B04" w14:textId="1F111DFF" w:rsidR="00AE7C43" w:rsidRPr="00A22B50" w:rsidRDefault="00AE7C43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372A" w14:textId="08465CF9" w:rsidR="00AE7C43" w:rsidRPr="00A22B50" w:rsidRDefault="00AE7C43" w:rsidP="006E0D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</w:t>
            </w:r>
            <w:r w:rsidR="006E0D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безопасность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1084" w14:textId="75EF927F" w:rsidR="00AE7C43" w:rsidRPr="00A22B50" w:rsidRDefault="00BA5DD1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и эксплуатация</w:t>
            </w:r>
            <w:r w:rsidRPr="00A22B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объекта соглашения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71E" w14:textId="5D4B8D79" w:rsidR="00AE7C43" w:rsidRPr="003640C8" w:rsidRDefault="0082441F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Платформа мониторинга показателей БДД Мурманской области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(программное обеспечение)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9CEC3F" w14:textId="4B582DEA" w:rsidR="00AE7C43" w:rsidRPr="003640C8" w:rsidRDefault="0082441F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Специальное программное обеспечение «Система учета, мониторинга и автоматизации обслуживания инфраструктуры интеллектуальных транспортных систем»;</w:t>
            </w:r>
          </w:p>
          <w:p w14:paraId="21202F7D" w14:textId="6FAB4C23" w:rsidR="00AE7C43" w:rsidRPr="003640C8" w:rsidRDefault="0082441F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Стационарные комплексы фотовидеофиксации нарушений правил дорожного движения, размещаемые на улично-дорожной сети Мурманской области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369 единиц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CA98E3" w14:textId="7A71EB39" w:rsidR="00AE7C43" w:rsidRPr="003640C8" w:rsidRDefault="0082441F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4.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Серверное оборудование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(характеристики будут определены на этапах проектирования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9582B6E" w14:textId="382FF8CD" w:rsidR="00AE7C43" w:rsidRPr="003640C8" w:rsidRDefault="0082441F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E7C43"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Технологическое оборудование;</w:t>
            </w:r>
          </w:p>
          <w:p w14:paraId="293A4BA8" w14:textId="02408664" w:rsidR="00AE7C43" w:rsidRPr="003640C8" w:rsidRDefault="00AE7C43" w:rsidP="008244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8244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40C8">
              <w:rPr>
                <w:rFonts w:ascii="Times New Roman" w:hAnsi="Times New Roman" w:cs="Times New Roman"/>
                <w:bCs/>
                <w:sz w:val="20"/>
                <w:szCs w:val="20"/>
              </w:rPr>
              <w:t>Оборудование для обеспечения защиты информации.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C3F" w14:textId="32E24528" w:rsidR="00AE7C43" w:rsidRPr="00A22B50" w:rsidRDefault="00AE7C43" w:rsidP="00BA5DD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13 лет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39E9" w14:textId="08F4D028" w:rsidR="00AE7C43" w:rsidRPr="00A22B50" w:rsidRDefault="00BA5DD1" w:rsidP="00BA5D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</w:t>
            </w:r>
            <w:r w:rsidR="00AE7C43" w:rsidRPr="00A12CF9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млрд </w:t>
            </w:r>
            <w:r w:rsidR="00AE7C43">
              <w:rPr>
                <w:rFonts w:ascii="Times New Roman" w:hAnsi="Times New Roman" w:cs="Times New Roman"/>
                <w:bCs/>
                <w:sz w:val="20"/>
                <w:szCs w:val="20"/>
              </w:rPr>
              <w:t>рублей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1671" w14:textId="0DB7BDCA" w:rsidR="00AE7C43" w:rsidRDefault="00AE7C43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6E0DFE">
              <w:rPr>
                <w:rFonts w:ascii="Times New Roman" w:hAnsi="Times New Roman" w:cs="Times New Roman"/>
                <w:bCs/>
                <w:sz w:val="20"/>
                <w:szCs w:val="20"/>
              </w:rPr>
              <w:t>тсутствуют</w:t>
            </w:r>
          </w:p>
          <w:p w14:paraId="0CCD955C" w14:textId="05F7AB32" w:rsidR="00AE7C43" w:rsidRDefault="00AE7C43" w:rsidP="00AE7C4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2D3" w14:textId="77777777" w:rsidR="00BA5DD1" w:rsidRDefault="00BA5DD1" w:rsidP="00BA5D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транспорта и дорожного хозяйства Мурманской области</w:t>
            </w:r>
          </w:p>
          <w:p w14:paraId="01BC457E" w14:textId="77777777" w:rsidR="00BA5DD1" w:rsidRDefault="00BA5DD1" w:rsidP="00BA5D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C2B3BD" w14:textId="0DDA1A3D" w:rsidR="00BA5DD1" w:rsidRDefault="0088378A" w:rsidP="00BA5DD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Михайлов Н.А.</w:t>
            </w:r>
            <w:r w:rsidR="00BA5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заместитель министра, </w:t>
            </w:r>
          </w:p>
          <w:p w14:paraId="45E7ABAF" w14:textId="699FD9E9" w:rsidR="00AE7C43" w:rsidRPr="00CC01BC" w:rsidRDefault="00BA5DD1" w:rsidP="0088378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+7 (8152) 486 </w:t>
            </w:r>
            <w:r w:rsidR="0088378A">
              <w:rPr>
                <w:rFonts w:ascii="Times New Roman" w:hAnsi="Times New Roman" w:cs="Times New Roman"/>
                <w:bCs/>
                <w:sz w:val="20"/>
                <w:szCs w:val="20"/>
              </w:rPr>
              <w:t>894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6" w:tgtFrame="_blank" w:history="1">
              <w:r w:rsidR="0088378A" w:rsidRPr="0088378A">
                <w:rPr>
                  <w:rStyle w:val="a3"/>
                  <w:rFonts w:ascii="Times New Roman" w:hAnsi="Times New Roman" w:cs="Times New Roman"/>
                  <w:color w:val="000000"/>
                  <w:spacing w:val="3"/>
                  <w:sz w:val="20"/>
                  <w:szCs w:val="20"/>
                  <w:u w:val="none"/>
                </w:rPr>
                <w:t>nmikhailov@gov-murman.ru</w:t>
              </w:r>
            </w:hyperlink>
          </w:p>
        </w:tc>
      </w:tr>
    </w:tbl>
    <w:p w14:paraId="0EEC0B2F" w14:textId="77777777" w:rsidR="006E0DFE" w:rsidRDefault="006E0DFE" w:rsidP="008244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FB8178" w14:textId="00706CF2" w:rsidR="0078638F" w:rsidRPr="00873066" w:rsidRDefault="00873066" w:rsidP="008244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3066">
        <w:rPr>
          <w:rFonts w:ascii="Times New Roman" w:hAnsi="Times New Roman" w:cs="Times New Roman"/>
        </w:rPr>
        <w:t>____________________________</w:t>
      </w:r>
    </w:p>
    <w:sectPr w:rsidR="0078638F" w:rsidRPr="00873066" w:rsidSect="006E0DF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778"/>
    <w:multiLevelType w:val="multilevel"/>
    <w:tmpl w:val="A65A4F66"/>
    <w:lvl w:ilvl="0">
      <w:start w:val="1"/>
      <w:numFmt w:val="upperRoman"/>
      <w:pStyle w:val="EUCOMPL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i w:val="0"/>
        <w:caps/>
        <w:smallCaps w:val="0"/>
        <w:sz w:val="22"/>
        <w:u w:val="none"/>
      </w:rPr>
    </w:lvl>
    <w:lvl w:ilvl="1">
      <w:start w:val="1"/>
      <w:numFmt w:val="decimal"/>
      <w:pStyle w:val="EUCOMP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caps w:val="0"/>
        <w:sz w:val="28"/>
        <w:szCs w:val="28"/>
        <w:u w:val="none"/>
      </w:rPr>
    </w:lvl>
    <w:lvl w:ilvl="2">
      <w:start w:val="1"/>
      <w:numFmt w:val="decimal"/>
      <w:pStyle w:val="EUCOMPL3"/>
      <w:lvlText w:val="%2.%3"/>
      <w:lvlJc w:val="left"/>
      <w:pPr>
        <w:tabs>
          <w:tab w:val="num" w:pos="4265"/>
        </w:tabs>
        <w:ind w:left="4265" w:hanging="720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  <w:u w:val="none"/>
      </w:rPr>
    </w:lvl>
    <w:lvl w:ilvl="3">
      <w:start w:val="1"/>
      <w:numFmt w:val="decimal"/>
      <w:pStyle w:val="EUCOMPL4"/>
      <w:isLgl/>
      <w:lvlText w:val="%2.%3.%4"/>
      <w:lvlJc w:val="left"/>
      <w:pPr>
        <w:tabs>
          <w:tab w:val="num" w:pos="6958"/>
        </w:tabs>
        <w:ind w:left="6958" w:hanging="720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  <w:u w:val="none"/>
      </w:rPr>
    </w:lvl>
    <w:lvl w:ilvl="4">
      <w:start w:val="1"/>
      <w:numFmt w:val="lowerLetter"/>
      <w:pStyle w:val="EUCOMPL5"/>
      <w:lvlText w:val="%5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pStyle w:val="EUCOMP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8"/>
        <w:szCs w:val="28"/>
        <w:u w:val="none"/>
      </w:rPr>
    </w:lvl>
    <w:lvl w:ilvl="6">
      <w:start w:val="1"/>
      <w:numFmt w:val="decimal"/>
      <w:pStyle w:val="EUCOMPL7"/>
      <w:lvlText w:val="%7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pStyle w:val="EUCOMPL8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decimal"/>
      <w:lvlRestart w:val="0"/>
      <w:pStyle w:val="EUCOMPL9"/>
      <w:lvlText w:val="%9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bCs w:val="0"/>
        <w:i w:val="0"/>
        <w:caps w:val="0"/>
        <w:color w:val="auto"/>
        <w:sz w:val="18"/>
        <w:szCs w:val="16"/>
        <w:u w:val="none"/>
      </w:rPr>
    </w:lvl>
  </w:abstractNum>
  <w:abstractNum w:abstractNumId="1" w15:restartNumberingAfterBreak="0">
    <w:nsid w:val="19C72B93"/>
    <w:multiLevelType w:val="multilevel"/>
    <w:tmpl w:val="1730CCC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C024F79"/>
    <w:multiLevelType w:val="multilevel"/>
    <w:tmpl w:val="C5608D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66"/>
    <w:rsid w:val="00063751"/>
    <w:rsid w:val="00065568"/>
    <w:rsid w:val="000D6E26"/>
    <w:rsid w:val="00173A9C"/>
    <w:rsid w:val="001F5929"/>
    <w:rsid w:val="003640C8"/>
    <w:rsid w:val="00431F52"/>
    <w:rsid w:val="00444589"/>
    <w:rsid w:val="004659C7"/>
    <w:rsid w:val="004B7477"/>
    <w:rsid w:val="00630D65"/>
    <w:rsid w:val="006E0DFE"/>
    <w:rsid w:val="0078638F"/>
    <w:rsid w:val="0082441F"/>
    <w:rsid w:val="0083615B"/>
    <w:rsid w:val="00873066"/>
    <w:rsid w:val="0088378A"/>
    <w:rsid w:val="00885A8E"/>
    <w:rsid w:val="008F3AAC"/>
    <w:rsid w:val="00987D76"/>
    <w:rsid w:val="009C7BAB"/>
    <w:rsid w:val="00A16275"/>
    <w:rsid w:val="00A22B50"/>
    <w:rsid w:val="00A73A79"/>
    <w:rsid w:val="00AE7C43"/>
    <w:rsid w:val="00B52E63"/>
    <w:rsid w:val="00BA5DD1"/>
    <w:rsid w:val="00BB4433"/>
    <w:rsid w:val="00C65333"/>
    <w:rsid w:val="00CC01BC"/>
    <w:rsid w:val="00D03527"/>
    <w:rsid w:val="00D66C67"/>
    <w:rsid w:val="00DE0FD4"/>
    <w:rsid w:val="00EF107D"/>
    <w:rsid w:val="00EF4ED1"/>
    <w:rsid w:val="00F45808"/>
    <w:rsid w:val="00F72E59"/>
    <w:rsid w:val="00F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7034"/>
  <w15:docId w15:val="{0A4C8E82-FA34-4D2A-8305-D6E4BAF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UCOMPL1">
    <w:name w:val="EUCOMP_L1"/>
    <w:basedOn w:val="a"/>
    <w:uiPriority w:val="14"/>
    <w:qFormat/>
    <w:rsid w:val="00A22B50"/>
    <w:pPr>
      <w:numPr>
        <w:numId w:val="1"/>
      </w:numPr>
      <w:tabs>
        <w:tab w:val="left" w:pos="567"/>
      </w:tabs>
      <w:spacing w:after="240" w:line="240" w:lineRule="auto"/>
      <w:jc w:val="both"/>
      <w:outlineLvl w:val="0"/>
    </w:pPr>
    <w:rPr>
      <w:rFonts w:ascii="Arial" w:eastAsia="Times New Roman" w:hAnsi="Arial" w:cs="Arial"/>
      <w:b/>
      <w:smallCaps/>
      <w:szCs w:val="20"/>
    </w:rPr>
  </w:style>
  <w:style w:type="paragraph" w:customStyle="1" w:styleId="EUCOMPL2">
    <w:name w:val="EUCOMP_L2"/>
    <w:basedOn w:val="a"/>
    <w:uiPriority w:val="14"/>
    <w:qFormat/>
    <w:rsid w:val="00A22B50"/>
    <w:pPr>
      <w:numPr>
        <w:ilvl w:val="1"/>
        <w:numId w:val="1"/>
      </w:numPr>
      <w:tabs>
        <w:tab w:val="clear" w:pos="720"/>
        <w:tab w:val="left" w:pos="709"/>
      </w:tabs>
      <w:spacing w:after="240" w:line="240" w:lineRule="atLeast"/>
      <w:jc w:val="both"/>
      <w:outlineLvl w:val="1"/>
    </w:pPr>
    <w:rPr>
      <w:rFonts w:ascii="Arial" w:eastAsia="Times New Roman" w:hAnsi="Arial" w:cs="Arial"/>
      <w:b/>
      <w:szCs w:val="20"/>
    </w:rPr>
  </w:style>
  <w:style w:type="paragraph" w:customStyle="1" w:styleId="EUCOMPL3">
    <w:name w:val="EUCOMP_L3"/>
    <w:basedOn w:val="a"/>
    <w:link w:val="EUCOMPL3Char"/>
    <w:uiPriority w:val="14"/>
    <w:qFormat/>
    <w:rsid w:val="00A22B50"/>
    <w:pPr>
      <w:numPr>
        <w:ilvl w:val="2"/>
        <w:numId w:val="1"/>
      </w:numPr>
      <w:spacing w:after="240" w:line="240" w:lineRule="atLeast"/>
      <w:jc w:val="both"/>
      <w:outlineLvl w:val="1"/>
    </w:pPr>
    <w:rPr>
      <w:rFonts w:ascii="Arial" w:eastAsia="Batang" w:hAnsi="Arial" w:cs="Arial"/>
      <w:szCs w:val="20"/>
    </w:rPr>
  </w:style>
  <w:style w:type="character" w:customStyle="1" w:styleId="EUCOMPL3Char">
    <w:name w:val="EUCOMP_L3 Char"/>
    <w:link w:val="EUCOMPL3"/>
    <w:uiPriority w:val="14"/>
    <w:rsid w:val="00A22B50"/>
    <w:rPr>
      <w:rFonts w:ascii="Arial" w:eastAsia="Batang" w:hAnsi="Arial" w:cs="Arial"/>
      <w:szCs w:val="20"/>
    </w:rPr>
  </w:style>
  <w:style w:type="paragraph" w:customStyle="1" w:styleId="EUCOMPL4">
    <w:name w:val="EUCOMP_L4"/>
    <w:basedOn w:val="EUCOMPL3"/>
    <w:uiPriority w:val="14"/>
    <w:qFormat/>
    <w:rsid w:val="00A22B50"/>
    <w:pPr>
      <w:numPr>
        <w:ilvl w:val="3"/>
      </w:numPr>
      <w:tabs>
        <w:tab w:val="clear" w:pos="6958"/>
        <w:tab w:val="num" w:pos="360"/>
        <w:tab w:val="num" w:pos="2280"/>
      </w:tabs>
      <w:ind w:left="2280"/>
      <w:outlineLvl w:val="3"/>
    </w:pPr>
  </w:style>
  <w:style w:type="paragraph" w:customStyle="1" w:styleId="EUCOMPL5">
    <w:name w:val="EUCOMP_L5"/>
    <w:basedOn w:val="EUCOMPL4"/>
    <w:uiPriority w:val="14"/>
    <w:qFormat/>
    <w:rsid w:val="00A22B50"/>
    <w:pPr>
      <w:numPr>
        <w:ilvl w:val="4"/>
      </w:numPr>
      <w:tabs>
        <w:tab w:val="clear" w:pos="2160"/>
        <w:tab w:val="num" w:pos="360"/>
      </w:tabs>
      <w:spacing w:line="240" w:lineRule="auto"/>
      <w:outlineLvl w:val="4"/>
    </w:pPr>
  </w:style>
  <w:style w:type="paragraph" w:customStyle="1" w:styleId="EUCOMPL6">
    <w:name w:val="EUCOMP_L6"/>
    <w:basedOn w:val="EUCOMPL5"/>
    <w:uiPriority w:val="14"/>
    <w:qFormat/>
    <w:rsid w:val="00A22B50"/>
    <w:pPr>
      <w:numPr>
        <w:ilvl w:val="5"/>
      </w:numPr>
      <w:tabs>
        <w:tab w:val="clear" w:pos="2160"/>
        <w:tab w:val="num" w:pos="360"/>
      </w:tabs>
      <w:outlineLvl w:val="5"/>
    </w:pPr>
  </w:style>
  <w:style w:type="paragraph" w:customStyle="1" w:styleId="EUCOMPL7">
    <w:name w:val="EUCOMP_L7"/>
    <w:basedOn w:val="EUCOMPL6"/>
    <w:uiPriority w:val="14"/>
    <w:qFormat/>
    <w:rsid w:val="00A22B50"/>
    <w:pPr>
      <w:numPr>
        <w:ilvl w:val="6"/>
      </w:numPr>
      <w:tabs>
        <w:tab w:val="clear" w:pos="2880"/>
        <w:tab w:val="num" w:pos="360"/>
        <w:tab w:val="num" w:pos="2280"/>
      </w:tabs>
      <w:outlineLvl w:val="6"/>
    </w:pPr>
  </w:style>
  <w:style w:type="paragraph" w:customStyle="1" w:styleId="EUCOMPL8">
    <w:name w:val="EUCOMP_L8"/>
    <w:basedOn w:val="EUCOMPL7"/>
    <w:uiPriority w:val="14"/>
    <w:qFormat/>
    <w:rsid w:val="00A22B50"/>
    <w:pPr>
      <w:numPr>
        <w:ilvl w:val="7"/>
      </w:numPr>
      <w:tabs>
        <w:tab w:val="clear" w:pos="2160"/>
        <w:tab w:val="num" w:pos="360"/>
      </w:tabs>
      <w:outlineLvl w:val="7"/>
    </w:pPr>
    <w:rPr>
      <w:b/>
    </w:rPr>
  </w:style>
  <w:style w:type="paragraph" w:customStyle="1" w:styleId="EUCOMPL9">
    <w:name w:val="EUCOMP_L9"/>
    <w:basedOn w:val="EUCOMPL8"/>
    <w:uiPriority w:val="14"/>
    <w:qFormat/>
    <w:rsid w:val="00A22B50"/>
    <w:pPr>
      <w:numPr>
        <w:ilvl w:val="8"/>
      </w:numPr>
      <w:tabs>
        <w:tab w:val="clear" w:pos="720"/>
        <w:tab w:val="num" w:pos="360"/>
      </w:tabs>
      <w:spacing w:line="360" w:lineRule="auto"/>
      <w:outlineLvl w:val="8"/>
    </w:pPr>
  </w:style>
  <w:style w:type="character" w:styleId="a3">
    <w:name w:val="Hyperlink"/>
    <w:basedOn w:val="a0"/>
    <w:uiPriority w:val="99"/>
    <w:semiHidden/>
    <w:unhideWhenUsed/>
    <w:rsid w:val="008244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ikhailov@gov-murman.ru" TargetMode="External"/><Relationship Id="rId5" Type="http://schemas.openxmlformats.org/officeDocument/2006/relationships/hyperlink" Target="mailto:starodubtsev@gov-murm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Краснощекова</dc:creator>
  <cp:lastModifiedBy>Полуянова Н.А.</cp:lastModifiedBy>
  <cp:revision>6</cp:revision>
  <cp:lastPrinted>2026-01-29T17:33:00Z</cp:lastPrinted>
  <dcterms:created xsi:type="dcterms:W3CDTF">2026-01-28T13:10:00Z</dcterms:created>
  <dcterms:modified xsi:type="dcterms:W3CDTF">2026-01-30T12:30:00Z</dcterms:modified>
</cp:coreProperties>
</file>